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28" w:rsidRDefault="00C55628" w:rsidP="005C3D64">
      <w:pPr>
        <w:pStyle w:val="Title"/>
        <w:tabs>
          <w:tab w:val="left" w:pos="2552"/>
          <w:tab w:val="left" w:pos="3686"/>
        </w:tabs>
        <w:spacing w:before="40" w:after="40"/>
        <w:rPr>
          <w:rFonts w:ascii="Tahoma" w:hAnsi="Tahoma" w:cs="Tahoma"/>
          <w:b/>
          <w:bCs/>
          <w:spacing w:val="28"/>
          <w:sz w:val="32"/>
          <w:szCs w:val="32"/>
        </w:rPr>
      </w:pPr>
      <w:r>
        <w:rPr>
          <w:rFonts w:ascii="Tahoma" w:hAnsi="Tahoma" w:cs="Tahoma"/>
          <w:b/>
          <w:bCs/>
          <w:spacing w:val="28"/>
          <w:sz w:val="32"/>
          <w:szCs w:val="32"/>
        </w:rPr>
        <w:t>BIZTONSÁGI ADATLAP</w:t>
      </w:r>
    </w:p>
    <w:p w:rsidR="00C55628" w:rsidRDefault="00C55628" w:rsidP="005301DC">
      <w:pPr>
        <w:pStyle w:val="Title"/>
        <w:tabs>
          <w:tab w:val="left" w:pos="4395"/>
        </w:tabs>
        <w:spacing w:before="0" w:after="0"/>
        <w:rPr>
          <w:rFonts w:ascii="Tahoma" w:hAnsi="Tahoma" w:cs="Tahoma"/>
          <w:spacing w:val="28"/>
          <w:sz w:val="18"/>
          <w:szCs w:val="18"/>
        </w:rPr>
      </w:pPr>
      <w:r>
        <w:rPr>
          <w:rFonts w:ascii="Tahoma" w:hAnsi="Tahoma" w:cs="Tahoma"/>
          <w:spacing w:val="28"/>
          <w:sz w:val="18"/>
          <w:szCs w:val="18"/>
        </w:rPr>
        <w:t>készült az 1907/2006/EK, az 1272/2008/EK és a 2015/830/EU rendelet szerint</w:t>
      </w:r>
    </w:p>
    <w:p w:rsidR="00C55628" w:rsidRDefault="00C55628"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 szakasz: Az anyag/keverék és a vállalat/vállalkozás azonosítása</w:t>
      </w:r>
    </w:p>
    <w:p w:rsidR="00C55628" w:rsidRDefault="00C55628" w:rsidP="00A2200F">
      <w:pPr>
        <w:tabs>
          <w:tab w:val="center" w:pos="4536"/>
        </w:tabs>
        <w:spacing w:before="40"/>
        <w:ind w:right="-2"/>
        <w:rPr>
          <w:rFonts w:ascii="Tahoma" w:hAnsi="Tahoma" w:cs="Tahoma"/>
          <w:b/>
          <w:bCs/>
          <w:snapToGrid w:val="0"/>
          <w:sz w:val="28"/>
          <w:szCs w:val="28"/>
        </w:rPr>
      </w:pPr>
      <w:r>
        <w:rPr>
          <w:rFonts w:ascii="Tahoma" w:hAnsi="Tahoma" w:cs="Tahoma"/>
          <w:b/>
          <w:bCs/>
          <w:snapToGrid w:val="0"/>
        </w:rPr>
        <w:t>1.1. Termékazonosító:</w:t>
      </w:r>
      <w:r>
        <w:rPr>
          <w:rFonts w:ascii="Tahoma" w:hAnsi="Tahoma" w:cs="Tahoma"/>
          <w:snapToGrid w:val="0"/>
          <w:sz w:val="18"/>
          <w:szCs w:val="18"/>
        </w:rPr>
        <w:tab/>
      </w:r>
      <w:r>
        <w:rPr>
          <w:rFonts w:ascii="Tahoma" w:hAnsi="Tahoma" w:cs="Tahoma"/>
          <w:b/>
          <w:bCs/>
          <w:snapToGrid w:val="0"/>
          <w:sz w:val="28"/>
          <w:szCs w:val="28"/>
        </w:rPr>
        <w:t>Just citromsavas vízkőoldó</w:t>
      </w:r>
    </w:p>
    <w:p w:rsidR="00C55628" w:rsidRDefault="00C55628" w:rsidP="009C0503">
      <w:pPr>
        <w:tabs>
          <w:tab w:val="center" w:pos="4536"/>
        </w:tabs>
        <w:spacing w:before="40"/>
        <w:ind w:right="-2"/>
        <w:rPr>
          <w:rFonts w:ascii="Tahoma" w:hAnsi="Tahoma" w:cs="Tahoma"/>
          <w:snapToGrid w:val="0"/>
        </w:rPr>
      </w:pPr>
      <w:r w:rsidRPr="00681260">
        <w:rPr>
          <w:rFonts w:ascii="Tahoma" w:hAnsi="Tahoma" w:cs="Tahoma"/>
          <w:b/>
          <w:bCs/>
          <w:snapToGrid w:val="0"/>
        </w:rPr>
        <w:t>1.2. Azonosított felhasználás:</w:t>
      </w:r>
      <w:r w:rsidRPr="00623045">
        <w:rPr>
          <w:rFonts w:ascii="Tahoma" w:hAnsi="Tahoma" w:cs="Tahoma"/>
          <w:snapToGrid w:val="0"/>
        </w:rPr>
        <w:t xml:space="preserve"> </w:t>
      </w:r>
      <w:r>
        <w:rPr>
          <w:rFonts w:ascii="Tahoma" w:hAnsi="Tahoma" w:cs="Tahoma"/>
          <w:snapToGrid w:val="0"/>
        </w:rPr>
        <w:t>savas tisztítószer</w:t>
      </w:r>
    </w:p>
    <w:p w:rsidR="00C55628" w:rsidRPr="00623045" w:rsidRDefault="00C55628" w:rsidP="00E709EB">
      <w:pPr>
        <w:tabs>
          <w:tab w:val="left" w:pos="426"/>
          <w:tab w:val="center" w:pos="4536"/>
        </w:tabs>
        <w:spacing w:before="40"/>
        <w:ind w:right="204"/>
        <w:rPr>
          <w:rFonts w:ascii="Tahoma" w:hAnsi="Tahoma" w:cs="Tahoma"/>
          <w:b/>
          <w:bCs/>
          <w:snapToGrid w:val="0"/>
        </w:rPr>
      </w:pPr>
      <w:r w:rsidRPr="00623045">
        <w:rPr>
          <w:rFonts w:ascii="Tahoma" w:hAnsi="Tahoma" w:cs="Tahoma"/>
          <w:b/>
          <w:bCs/>
          <w:snapToGrid w:val="0"/>
        </w:rPr>
        <w:tab/>
        <w:t>Ellenjavallt felhasználás:</w:t>
      </w:r>
      <w:r w:rsidRPr="00B71939">
        <w:rPr>
          <w:rFonts w:ascii="Tahoma" w:hAnsi="Tahoma" w:cs="Tahoma"/>
          <w:snapToGrid w:val="0"/>
        </w:rPr>
        <w:t xml:space="preserve"> </w:t>
      </w:r>
      <w:r w:rsidRPr="00623045">
        <w:rPr>
          <w:rFonts w:ascii="Tahoma" w:hAnsi="Tahoma" w:cs="Tahoma"/>
          <w:snapToGrid w:val="0"/>
        </w:rPr>
        <w:t>fentitől eltérő</w:t>
      </w:r>
    </w:p>
    <w:p w:rsidR="00C55628" w:rsidRDefault="00C55628" w:rsidP="005C50EE">
      <w:pPr>
        <w:tabs>
          <w:tab w:val="left" w:pos="284"/>
          <w:tab w:val="left" w:pos="2127"/>
          <w:tab w:val="left" w:pos="2835"/>
          <w:tab w:val="right" w:pos="9214"/>
        </w:tabs>
        <w:spacing w:before="80"/>
        <w:ind w:left="3119" w:right="204" w:hanging="3119"/>
        <w:jc w:val="both"/>
        <w:rPr>
          <w:rFonts w:ascii="Tahoma" w:hAnsi="Tahoma" w:cs="Tahoma"/>
          <w:snapToGrid w:val="0"/>
        </w:rPr>
      </w:pPr>
      <w:r>
        <w:rPr>
          <w:rFonts w:ascii="Tahoma" w:hAnsi="Tahoma" w:cs="Tahoma"/>
          <w:b/>
          <w:bCs/>
          <w:snapToGrid w:val="0"/>
        </w:rPr>
        <w:t>1.3. A biztonsági adatlap szállítójának adatai:</w:t>
      </w:r>
    </w:p>
    <w:p w:rsidR="00C55628" w:rsidRPr="0008511E" w:rsidRDefault="00C55628" w:rsidP="00E709EB">
      <w:pPr>
        <w:spacing w:before="40"/>
        <w:ind w:left="425"/>
        <w:rPr>
          <w:rFonts w:ascii="Tahoma" w:hAnsi="Tahoma" w:cs="Tahoma"/>
          <w:b/>
          <w:bCs/>
        </w:rPr>
      </w:pPr>
      <w:r w:rsidRPr="0008511E">
        <w:rPr>
          <w:rFonts w:ascii="Tahoma" w:hAnsi="Tahoma" w:cs="Tahoma"/>
          <w:b/>
          <w:bCs/>
        </w:rPr>
        <w:t>GIRONDE Kozmetikai és Háztartás-vegyipari Termékeket Gyártó és Forgalmazó Kft.</w:t>
      </w:r>
    </w:p>
    <w:p w:rsidR="00C55628" w:rsidRPr="0008511E" w:rsidRDefault="00C55628" w:rsidP="005C50EE">
      <w:pPr>
        <w:tabs>
          <w:tab w:val="left" w:pos="1985"/>
        </w:tabs>
        <w:ind w:left="426"/>
        <w:rPr>
          <w:rFonts w:ascii="Tahoma" w:hAnsi="Tahoma" w:cs="Tahoma"/>
        </w:rPr>
      </w:pPr>
      <w:r w:rsidRPr="0008511E">
        <w:rPr>
          <w:rFonts w:ascii="Tahoma" w:hAnsi="Tahoma" w:cs="Tahoma"/>
        </w:rPr>
        <w:t>H-3333 Terpes, Petőfi út 2 – 4.</w:t>
      </w:r>
    </w:p>
    <w:p w:rsidR="00C55628" w:rsidRDefault="00C55628" w:rsidP="005C50EE">
      <w:pPr>
        <w:tabs>
          <w:tab w:val="left" w:pos="1985"/>
        </w:tabs>
        <w:ind w:left="426"/>
        <w:rPr>
          <w:rFonts w:ascii="Tahoma" w:hAnsi="Tahoma" w:cs="Tahoma"/>
        </w:rPr>
      </w:pPr>
      <w:r w:rsidRPr="0008511E">
        <w:rPr>
          <w:rFonts w:ascii="Tahoma" w:hAnsi="Tahoma" w:cs="Tahoma"/>
        </w:rPr>
        <w:t xml:space="preserve">Telefon: </w:t>
      </w:r>
      <w:r>
        <w:rPr>
          <w:rFonts w:ascii="Tahoma" w:hAnsi="Tahoma" w:cs="Tahoma"/>
        </w:rPr>
        <w:t>+</w:t>
      </w:r>
      <w:r w:rsidRPr="0008511E">
        <w:rPr>
          <w:rFonts w:ascii="Tahoma" w:hAnsi="Tahoma" w:cs="Tahoma"/>
        </w:rPr>
        <w:t>36 36 561</w:t>
      </w:r>
      <w:r>
        <w:rPr>
          <w:rFonts w:ascii="Tahoma" w:hAnsi="Tahoma" w:cs="Tahoma"/>
        </w:rPr>
        <w:t> </w:t>
      </w:r>
      <w:r w:rsidRPr="0008511E">
        <w:rPr>
          <w:rFonts w:ascii="Tahoma" w:hAnsi="Tahoma" w:cs="Tahoma"/>
        </w:rPr>
        <w:t>310</w:t>
      </w:r>
      <w:r>
        <w:rPr>
          <w:rFonts w:ascii="Tahoma" w:hAnsi="Tahoma" w:cs="Tahoma"/>
        </w:rPr>
        <w:tab/>
      </w:r>
      <w:r w:rsidRPr="0008511E">
        <w:rPr>
          <w:rFonts w:ascii="Tahoma" w:hAnsi="Tahoma" w:cs="Tahoma"/>
        </w:rPr>
        <w:t xml:space="preserve">Fax: </w:t>
      </w:r>
      <w:r>
        <w:rPr>
          <w:rFonts w:ascii="Tahoma" w:hAnsi="Tahoma" w:cs="Tahoma"/>
        </w:rPr>
        <w:t>+</w:t>
      </w:r>
      <w:r w:rsidRPr="0008511E">
        <w:rPr>
          <w:rFonts w:ascii="Tahoma" w:hAnsi="Tahoma" w:cs="Tahoma"/>
        </w:rPr>
        <w:t>36 36 371</w:t>
      </w:r>
      <w:r>
        <w:rPr>
          <w:rFonts w:ascii="Tahoma" w:hAnsi="Tahoma" w:cs="Tahoma"/>
        </w:rPr>
        <w:t> </w:t>
      </w:r>
      <w:r w:rsidRPr="0008511E">
        <w:rPr>
          <w:rFonts w:ascii="Tahoma" w:hAnsi="Tahoma" w:cs="Tahoma"/>
        </w:rPr>
        <w:t>022</w:t>
      </w:r>
    </w:p>
    <w:p w:rsidR="00C55628" w:rsidRPr="0008511E" w:rsidRDefault="00C55628" w:rsidP="005C50EE">
      <w:pPr>
        <w:tabs>
          <w:tab w:val="left" w:pos="1985"/>
        </w:tabs>
        <w:ind w:left="426"/>
        <w:rPr>
          <w:rFonts w:ascii="Tahoma" w:hAnsi="Tahoma" w:cs="Tahoma"/>
        </w:rPr>
      </w:pPr>
      <w:r>
        <w:rPr>
          <w:rFonts w:ascii="Tahoma" w:hAnsi="Tahoma" w:cs="Tahoma"/>
        </w:rPr>
        <w:t>honlap: www.gironde.hu</w:t>
      </w:r>
    </w:p>
    <w:p w:rsidR="00C55628" w:rsidRDefault="00C55628" w:rsidP="00EA7B2A">
      <w:pPr>
        <w:tabs>
          <w:tab w:val="right" w:pos="9214"/>
        </w:tabs>
        <w:spacing w:before="60"/>
        <w:ind w:right="204" w:firstLine="426"/>
        <w:jc w:val="both"/>
        <w:rPr>
          <w:rFonts w:ascii="Tahoma" w:hAnsi="Tahoma" w:cs="Tahoma"/>
          <w:snapToGrid w:val="0"/>
        </w:rPr>
      </w:pPr>
      <w:r w:rsidRPr="004D5835">
        <w:rPr>
          <w:rFonts w:ascii="Tahoma" w:hAnsi="Tahoma" w:cs="Tahoma"/>
          <w:b/>
          <w:bCs/>
          <w:snapToGrid w:val="0"/>
        </w:rPr>
        <w:t>A biztonsági adatlapért felelős személy elérhetősége:</w:t>
      </w:r>
      <w:r>
        <w:rPr>
          <w:rFonts w:ascii="Tahoma" w:hAnsi="Tahoma" w:cs="Tahoma"/>
          <w:snapToGrid w:val="0"/>
        </w:rPr>
        <w:t xml:space="preserve"> gironde@t-online.hu</w:t>
      </w:r>
    </w:p>
    <w:p w:rsidR="00C55628" w:rsidRPr="004D5835" w:rsidRDefault="00C55628" w:rsidP="005C50EE">
      <w:pPr>
        <w:tabs>
          <w:tab w:val="left" w:pos="2268"/>
          <w:tab w:val="right" w:pos="9214"/>
        </w:tabs>
        <w:spacing w:before="80"/>
        <w:ind w:left="3119" w:right="204" w:hanging="3119"/>
        <w:jc w:val="both"/>
        <w:rPr>
          <w:rFonts w:ascii="Tahoma" w:hAnsi="Tahoma" w:cs="Tahoma"/>
          <w:b/>
          <w:bCs/>
          <w:snapToGrid w:val="0"/>
        </w:rPr>
      </w:pPr>
      <w:r w:rsidRPr="004D5835">
        <w:rPr>
          <w:rFonts w:ascii="Tahoma" w:hAnsi="Tahoma" w:cs="Tahoma"/>
          <w:b/>
          <w:bCs/>
          <w:snapToGrid w:val="0"/>
        </w:rPr>
        <w:t>1.</w:t>
      </w:r>
      <w:r>
        <w:rPr>
          <w:rFonts w:ascii="Tahoma" w:hAnsi="Tahoma" w:cs="Tahoma"/>
          <w:b/>
          <w:bCs/>
          <w:snapToGrid w:val="0"/>
        </w:rPr>
        <w:t>4</w:t>
      </w:r>
      <w:r w:rsidRPr="004D5835">
        <w:rPr>
          <w:rFonts w:ascii="Tahoma" w:hAnsi="Tahoma" w:cs="Tahoma"/>
          <w:b/>
          <w:bCs/>
          <w:snapToGrid w:val="0"/>
        </w:rPr>
        <w:t>. Sürgősségi telefon: Egészségügyi Toxikológiai Tájékoztató Szolgálat (ETTSZ):</w:t>
      </w:r>
    </w:p>
    <w:p w:rsidR="00C55628" w:rsidRDefault="00C55628" w:rsidP="00D05604">
      <w:pPr>
        <w:tabs>
          <w:tab w:val="right" w:pos="9214"/>
        </w:tabs>
        <w:ind w:left="284" w:right="204"/>
        <w:jc w:val="both"/>
        <w:rPr>
          <w:rFonts w:ascii="Tahoma" w:hAnsi="Tahoma" w:cs="Tahoma"/>
          <w:snapToGrid w:val="0"/>
        </w:rPr>
      </w:pPr>
      <w:r>
        <w:rPr>
          <w:rFonts w:ascii="Tahoma" w:hAnsi="Tahoma" w:cs="Tahoma"/>
          <w:snapToGrid w:val="0"/>
        </w:rPr>
        <w:tab/>
        <w:t>napközben:+36 (1) 476-6464</w:t>
      </w:r>
    </w:p>
    <w:p w:rsidR="00C55628" w:rsidRDefault="00C55628" w:rsidP="00D05604">
      <w:pPr>
        <w:tabs>
          <w:tab w:val="right" w:pos="9214"/>
        </w:tabs>
        <w:jc w:val="both"/>
        <w:rPr>
          <w:rFonts w:ascii="Tahoma" w:hAnsi="Tahoma" w:cs="Tahoma"/>
          <w:snapToGrid w:val="0"/>
        </w:rPr>
      </w:pPr>
      <w:r>
        <w:rPr>
          <w:rFonts w:ascii="Tahoma" w:hAnsi="Tahoma" w:cs="Tahoma"/>
          <w:snapToGrid w:val="0"/>
        </w:rPr>
        <w:t xml:space="preserve"> </w:t>
      </w:r>
      <w:r>
        <w:rPr>
          <w:rFonts w:ascii="Tahoma" w:hAnsi="Tahoma" w:cs="Tahoma"/>
          <w:snapToGrid w:val="0"/>
        </w:rPr>
        <w:tab/>
        <w:t>éjjel-nappal hívható száma: +36 (80) 20 11 99</w:t>
      </w:r>
    </w:p>
    <w:p w:rsidR="00C55628" w:rsidRDefault="00C55628"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2. szakasz: A veszély azonosítása</w:t>
      </w:r>
    </w:p>
    <w:p w:rsidR="00C55628" w:rsidRDefault="00C55628" w:rsidP="00B71939">
      <w:pPr>
        <w:spacing w:after="60"/>
        <w:jc w:val="both"/>
        <w:rPr>
          <w:rFonts w:ascii="Tahoma" w:hAnsi="Tahoma" w:cs="Tahoma"/>
          <w:b/>
          <w:bCs/>
        </w:rPr>
      </w:pPr>
      <w:bookmarkStart w:id="0" w:name="OLE_LINK1"/>
      <w:r w:rsidRPr="008F05F6">
        <w:rPr>
          <w:rFonts w:ascii="Tahoma" w:hAnsi="Tahoma" w:cs="Tahoma"/>
          <w:b/>
          <w:bCs/>
          <w:snapToGrid w:val="0"/>
        </w:rPr>
        <w:t>2.1. Az keverék osztályozása:</w:t>
      </w:r>
      <w:r w:rsidRPr="008F05F6">
        <w:rPr>
          <w:rFonts w:ascii="Tahoma" w:hAnsi="Tahoma" w:cs="Tahoma"/>
          <w:snapToGrid w:val="0"/>
        </w:rPr>
        <w:t xml:space="preserve"> </w:t>
      </w:r>
      <w:r>
        <w:rPr>
          <w:rFonts w:ascii="Tahoma" w:hAnsi="Tahoma" w:cs="Tahoma"/>
          <w:snapToGrid w:val="0"/>
        </w:rPr>
        <w:t xml:space="preserve">a gyártó, a </w:t>
      </w:r>
      <w:r w:rsidRPr="008F05F6">
        <w:rPr>
          <w:rFonts w:ascii="Tahoma" w:hAnsi="Tahoma" w:cs="Tahoma"/>
          <w:snapToGrid w:val="0"/>
        </w:rPr>
        <w:t xml:space="preserve">vonatkozó uniós szabályozások </w:t>
      </w:r>
      <w:r>
        <w:rPr>
          <w:rFonts w:ascii="Tahoma" w:hAnsi="Tahoma" w:cs="Tahoma"/>
          <w:snapToGrid w:val="0"/>
        </w:rPr>
        <w:t>a 1272/2008/EK (CLP</w:t>
      </w:r>
      <w:r w:rsidRPr="00E43E30">
        <w:rPr>
          <w:rStyle w:val="FootnoteReference"/>
          <w:rFonts w:ascii="Tahoma" w:hAnsi="Tahoma" w:cs="Tahoma"/>
          <w:b/>
          <w:bCs/>
        </w:rPr>
        <w:footnoteReference w:id="1"/>
      </w:r>
      <w:r>
        <w:rPr>
          <w:rFonts w:ascii="Tahoma" w:hAnsi="Tahoma" w:cs="Tahoma"/>
          <w:snapToGrid w:val="0"/>
        </w:rPr>
        <w:t>)</w:t>
      </w:r>
      <w:r w:rsidRPr="004258D0">
        <w:rPr>
          <w:rStyle w:val="FootnoteReference"/>
          <w:rFonts w:ascii="Tahoma" w:hAnsi="Tahoma" w:cs="Tahoma"/>
          <w:b/>
          <w:bCs/>
        </w:rPr>
        <w:t xml:space="preserve"> </w:t>
      </w:r>
      <w:r>
        <w:rPr>
          <w:rFonts w:ascii="Tahoma" w:hAnsi="Tahoma" w:cs="Tahoma"/>
          <w:snapToGrid w:val="0"/>
        </w:rPr>
        <w:t xml:space="preserve">rendelet </w:t>
      </w:r>
      <w:r w:rsidRPr="008F05F6">
        <w:rPr>
          <w:rFonts w:ascii="Tahoma" w:hAnsi="Tahoma" w:cs="Tahoma"/>
          <w:snapToGrid w:val="0"/>
        </w:rPr>
        <w:t xml:space="preserve">szerint </w:t>
      </w:r>
      <w:r w:rsidRPr="008F05F6">
        <w:rPr>
          <w:rFonts w:ascii="Tahoma" w:hAnsi="Tahoma" w:cs="Tahoma"/>
          <w:b/>
          <w:bCs/>
          <w:snapToGrid w:val="0"/>
        </w:rPr>
        <w:t>a</w:t>
      </w:r>
      <w:r w:rsidRPr="008F05F6">
        <w:rPr>
          <w:rFonts w:ascii="Tahoma" w:hAnsi="Tahoma" w:cs="Tahoma"/>
          <w:b/>
          <w:bCs/>
        </w:rPr>
        <w:t xml:space="preserve"> termék veszélyes keverék.</w:t>
      </w:r>
    </w:p>
    <w:tbl>
      <w:tblPr>
        <w:tblW w:w="87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1418"/>
        <w:gridCol w:w="3543"/>
        <w:gridCol w:w="1418"/>
      </w:tblGrid>
      <w:tr w:rsidR="00C55628" w:rsidRPr="00CB16EA">
        <w:tc>
          <w:tcPr>
            <w:tcW w:w="3828" w:type="dxa"/>
            <w:gridSpan w:val="2"/>
            <w:tcBorders>
              <w:top w:val="nil"/>
              <w:left w:val="nil"/>
              <w:bottom w:val="nil"/>
            </w:tcBorders>
          </w:tcPr>
          <w:p w:rsidR="00C55628" w:rsidRPr="00F74BD3" w:rsidRDefault="00C55628" w:rsidP="00EC3168">
            <w:pPr>
              <w:tabs>
                <w:tab w:val="left" w:pos="5812"/>
              </w:tabs>
              <w:spacing w:before="40" w:after="40"/>
              <w:ind w:left="532" w:hanging="106"/>
              <w:rPr>
                <w:rFonts w:ascii="Tahoma" w:hAnsi="Tahoma" w:cs="Tahoma"/>
                <w:b/>
                <w:bCs/>
                <w:sz w:val="18"/>
                <w:szCs w:val="18"/>
              </w:rPr>
            </w:pPr>
          </w:p>
        </w:tc>
        <w:tc>
          <w:tcPr>
            <w:tcW w:w="3543" w:type="dxa"/>
            <w:vAlign w:val="center"/>
          </w:tcPr>
          <w:p w:rsidR="00C55628" w:rsidRPr="00F74BD3" w:rsidRDefault="00C55628" w:rsidP="00EC3168">
            <w:pPr>
              <w:tabs>
                <w:tab w:val="left" w:pos="5812"/>
              </w:tabs>
              <w:spacing w:before="40" w:after="40"/>
              <w:ind w:hanging="106"/>
              <w:jc w:val="center"/>
              <w:rPr>
                <w:rFonts w:ascii="Tahoma" w:hAnsi="Tahoma" w:cs="Tahoma"/>
                <w:b/>
                <w:bCs/>
                <w:sz w:val="18"/>
                <w:szCs w:val="18"/>
              </w:rPr>
            </w:pPr>
            <w:r w:rsidRPr="00F74BD3">
              <w:rPr>
                <w:rFonts w:ascii="Tahoma" w:hAnsi="Tahoma" w:cs="Tahoma"/>
                <w:b/>
                <w:bCs/>
                <w:sz w:val="18"/>
                <w:szCs w:val="18"/>
              </w:rPr>
              <w:t>Veszélyességi osztály</w:t>
            </w:r>
          </w:p>
        </w:tc>
        <w:tc>
          <w:tcPr>
            <w:tcW w:w="1418" w:type="dxa"/>
            <w:vAlign w:val="center"/>
          </w:tcPr>
          <w:p w:rsidR="00C55628" w:rsidRPr="00F74BD3" w:rsidRDefault="00C55628" w:rsidP="00EC3168">
            <w:pPr>
              <w:tabs>
                <w:tab w:val="left" w:pos="5812"/>
              </w:tabs>
              <w:spacing w:before="40" w:after="40"/>
              <w:ind w:right="-108"/>
              <w:rPr>
                <w:rFonts w:ascii="Tahoma" w:hAnsi="Tahoma" w:cs="Tahoma"/>
                <w:b/>
                <w:bCs/>
                <w:sz w:val="18"/>
                <w:szCs w:val="18"/>
              </w:rPr>
            </w:pPr>
            <w:r w:rsidRPr="00F74BD3">
              <w:rPr>
                <w:rFonts w:ascii="Tahoma" w:hAnsi="Tahoma" w:cs="Tahoma"/>
                <w:b/>
                <w:bCs/>
                <w:sz w:val="18"/>
                <w:szCs w:val="18"/>
              </w:rPr>
              <w:t>Veszélyességi kategória</w:t>
            </w:r>
            <w:r>
              <w:rPr>
                <w:rStyle w:val="FootnoteReference"/>
                <w:rFonts w:ascii="Tahoma" w:hAnsi="Tahoma" w:cs="Tahoma"/>
                <w:b/>
                <w:bCs/>
                <w:sz w:val="18"/>
                <w:szCs w:val="18"/>
              </w:rPr>
              <w:footnoteReference w:id="2"/>
            </w:r>
          </w:p>
        </w:tc>
      </w:tr>
      <w:tr w:rsidR="00C55628" w:rsidRPr="00CB16EA">
        <w:tc>
          <w:tcPr>
            <w:tcW w:w="2410" w:type="dxa"/>
            <w:tcBorders>
              <w:top w:val="nil"/>
              <w:left w:val="nil"/>
              <w:bottom w:val="nil"/>
            </w:tcBorders>
            <w:vAlign w:val="center"/>
          </w:tcPr>
          <w:p w:rsidR="00C55628" w:rsidRPr="00F74BD3" w:rsidRDefault="00C55628" w:rsidP="00B5250F">
            <w:pPr>
              <w:tabs>
                <w:tab w:val="left" w:pos="5812"/>
              </w:tabs>
              <w:spacing w:before="20" w:after="40"/>
              <w:ind w:hanging="106"/>
              <w:jc w:val="right"/>
              <w:rPr>
                <w:rFonts w:ascii="Tahoma" w:hAnsi="Tahoma" w:cs="Tahoma"/>
                <w:b/>
                <w:bCs/>
                <w:sz w:val="18"/>
                <w:szCs w:val="18"/>
              </w:rPr>
            </w:pPr>
            <w:r>
              <w:rPr>
                <w:rFonts w:ascii="Tahoma" w:hAnsi="Tahoma" w:cs="Tahoma"/>
                <w:b/>
                <w:bCs/>
                <w:sz w:val="18"/>
                <w:szCs w:val="18"/>
              </w:rPr>
              <w:t>Egészségi</w:t>
            </w:r>
            <w:r w:rsidRPr="00F74BD3">
              <w:rPr>
                <w:rFonts w:ascii="Tahoma" w:hAnsi="Tahoma" w:cs="Tahoma"/>
                <w:b/>
                <w:bCs/>
                <w:sz w:val="18"/>
                <w:szCs w:val="18"/>
              </w:rPr>
              <w:t xml:space="preserve"> veszély:</w:t>
            </w:r>
          </w:p>
        </w:tc>
        <w:tc>
          <w:tcPr>
            <w:tcW w:w="1418" w:type="dxa"/>
            <w:vAlign w:val="center"/>
          </w:tcPr>
          <w:p w:rsidR="00C55628" w:rsidRPr="00F30F6F" w:rsidRDefault="00C55628" w:rsidP="00EC3168">
            <w:pPr>
              <w:tabs>
                <w:tab w:val="left" w:pos="5812"/>
              </w:tabs>
              <w:spacing w:before="20" w:after="40"/>
              <w:ind w:hanging="106"/>
              <w:jc w:val="center"/>
              <w:rPr>
                <w:rFonts w:ascii="Tahoma" w:hAnsi="Tahoma" w:cs="Tahoma"/>
                <w:sz w:val="18"/>
                <w:szCs w:val="18"/>
              </w:rPr>
            </w:pPr>
            <w:r w:rsidRPr="00F30F6F">
              <w:rPr>
                <w:rFonts w:ascii="Tahoma" w:hAnsi="Tahoma" w:cs="Tahoma"/>
              </w:rPr>
              <w:t>Eye Irrit. 2</w:t>
            </w:r>
          </w:p>
        </w:tc>
        <w:tc>
          <w:tcPr>
            <w:tcW w:w="3543" w:type="dxa"/>
          </w:tcPr>
          <w:p w:rsidR="00C55628" w:rsidRPr="00F74BD3" w:rsidRDefault="00C55628" w:rsidP="00EC3168">
            <w:pPr>
              <w:tabs>
                <w:tab w:val="left" w:pos="5812"/>
              </w:tabs>
              <w:spacing w:before="20" w:after="40"/>
              <w:ind w:firstLine="33"/>
              <w:rPr>
                <w:rFonts w:ascii="Tahoma" w:hAnsi="Tahoma" w:cs="Tahoma"/>
                <w:sz w:val="18"/>
                <w:szCs w:val="18"/>
              </w:rPr>
            </w:pPr>
            <w:r>
              <w:rPr>
                <w:rFonts w:ascii="Tahoma" w:hAnsi="Tahoma" w:cs="Tahoma"/>
              </w:rPr>
              <w:t>Súlyos szemkárosodás/szemirritáció</w:t>
            </w:r>
          </w:p>
        </w:tc>
        <w:tc>
          <w:tcPr>
            <w:tcW w:w="1418" w:type="dxa"/>
            <w:vAlign w:val="center"/>
          </w:tcPr>
          <w:p w:rsidR="00C55628" w:rsidRPr="00F74BD3" w:rsidRDefault="00C55628" w:rsidP="00EC3168">
            <w:pPr>
              <w:tabs>
                <w:tab w:val="left" w:pos="5812"/>
              </w:tabs>
              <w:spacing w:before="20" w:after="40"/>
              <w:ind w:hanging="106"/>
              <w:jc w:val="center"/>
              <w:rPr>
                <w:rFonts w:ascii="Tahoma" w:hAnsi="Tahoma" w:cs="Tahoma"/>
                <w:sz w:val="18"/>
                <w:szCs w:val="18"/>
              </w:rPr>
            </w:pPr>
            <w:r>
              <w:rPr>
                <w:rFonts w:ascii="Tahoma" w:hAnsi="Tahoma" w:cs="Tahoma"/>
                <w:sz w:val="18"/>
                <w:szCs w:val="18"/>
              </w:rPr>
              <w:t>2</w:t>
            </w:r>
          </w:p>
        </w:tc>
      </w:tr>
    </w:tbl>
    <w:p w:rsidR="00C55628" w:rsidRDefault="00C55628" w:rsidP="005D6C4F">
      <w:pPr>
        <w:spacing w:before="120" w:after="40"/>
        <w:jc w:val="both"/>
        <w:rPr>
          <w:rFonts w:ascii="Tahoma" w:hAnsi="Tahoma" w:cs="Tahoma"/>
          <w:snapToGrid w:val="0"/>
        </w:rPr>
      </w:pPr>
      <w:r w:rsidRPr="00184F11">
        <w:rPr>
          <w:rFonts w:ascii="Tahoma" w:hAnsi="Tahoma" w:cs="Tahoma"/>
          <w:b/>
          <w:bCs/>
          <w:snapToGrid w:val="0"/>
        </w:rPr>
        <w:t>2.2. Címkézési elemek</w:t>
      </w:r>
      <w:r>
        <w:rPr>
          <w:rFonts w:ascii="Tahoma" w:hAnsi="Tahoma" w:cs="Tahoma"/>
          <w:b/>
          <w:bCs/>
          <w:snapToGrid w:val="0"/>
        </w:rPr>
        <w:t>:</w:t>
      </w:r>
      <w:r w:rsidRPr="00184F11">
        <w:rPr>
          <w:rFonts w:ascii="Tahoma" w:hAnsi="Tahoma" w:cs="Tahoma"/>
          <w:snapToGrid w:val="0"/>
        </w:rPr>
        <w:t xml:space="preserve"> </w:t>
      </w:r>
    </w:p>
    <w:p w:rsidR="00C55628" w:rsidRDefault="00C55628" w:rsidP="005D6C4F">
      <w:pPr>
        <w:spacing w:after="40"/>
        <w:ind w:firstLine="425"/>
        <w:jc w:val="both"/>
        <w:rPr>
          <w:rFonts w:ascii="Tahoma" w:hAnsi="Tahoma" w:cs="Tahoma"/>
          <w:snapToGrid w:val="0"/>
        </w:rPr>
      </w:pPr>
      <w:r w:rsidRPr="006A0D13">
        <w:rPr>
          <w:rFonts w:ascii="Tahoma" w:hAnsi="Tahoma" w:cs="Tahoma"/>
          <w:b/>
          <w:bCs/>
          <w:snapToGrid w:val="0"/>
        </w:rPr>
        <w:t>Piktogram:</w:t>
      </w:r>
      <w:r w:rsidRPr="006A0D13">
        <w:rPr>
          <w:rFonts w:ascii="Tahoma" w:hAnsi="Tahoma" w:cs="Tahoma"/>
          <w:snapToGrid w:val="0"/>
        </w:rPr>
        <w:t xml:space="preserve"> </w:t>
      </w:r>
      <w:r>
        <w:rPr>
          <w:rFonts w:ascii="Tahoma" w:hAnsi="Tahoma" w:cs="Tahoma"/>
          <w:snapToGrid w:val="0"/>
        </w:rPr>
        <w:t xml:space="preserve">GH07 </w:t>
      </w:r>
      <w:r w:rsidRPr="006A0D13">
        <w:rPr>
          <w:rFonts w:ascii="Tahoma" w:hAnsi="Tahoma" w:cs="Tahoma"/>
          <w:b/>
          <w:bCs/>
          <w:snapToGrid w:val="0"/>
        </w:rPr>
        <w:t>Figyelmeztetés</w:t>
      </w:r>
      <w:r>
        <w:rPr>
          <w:rFonts w:ascii="Tahoma" w:hAnsi="Tahoma" w:cs="Tahoma"/>
          <w:snapToGrid w:val="0"/>
        </w:rPr>
        <w:t>: FIGYELEM</w:t>
      </w:r>
    </w:p>
    <w:p w:rsidR="00C55628" w:rsidRDefault="00C55628" w:rsidP="005D6C4F">
      <w:pPr>
        <w:spacing w:after="40"/>
        <w:ind w:firstLine="425"/>
        <w:jc w:val="both"/>
        <w:rPr>
          <w:rFonts w:ascii="Tahoma" w:hAnsi="Tahoma" w:cs="Tahoma"/>
          <w:snapToGrid w:val="0"/>
        </w:rPr>
      </w:pPr>
    </w:p>
    <w:p w:rsidR="00C55628" w:rsidRDefault="00C55628" w:rsidP="005D6C4F">
      <w:pPr>
        <w:spacing w:after="40"/>
        <w:ind w:firstLine="425"/>
        <w:jc w:val="both"/>
        <w:rPr>
          <w:rFonts w:ascii="Tahoma" w:hAnsi="Tahoma" w:cs="Tahoma"/>
          <w:snapToGrid w:val="0"/>
        </w:rPr>
      </w:pPr>
      <w:r w:rsidRPr="00EB07EE">
        <w:rPr>
          <w:rFonts w:ascii="Calibri" w:hAnsi="Calibri" w:cs="Calibri"/>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0" o:spid="_x0000_i1025" type="#_x0000_t75" alt="exclam.gif" style="width:67.5pt;height:67.5pt;visibility:visible">
            <v:imagedata r:id="rId7" o:title=""/>
          </v:shape>
        </w:pict>
      </w:r>
    </w:p>
    <w:p w:rsidR="00C55628" w:rsidRDefault="00C55628" w:rsidP="005D6C4F">
      <w:pPr>
        <w:spacing w:after="40"/>
        <w:ind w:firstLine="425"/>
        <w:jc w:val="both"/>
        <w:rPr>
          <w:rFonts w:ascii="Tahoma" w:hAnsi="Tahoma" w:cs="Tahoma"/>
          <w:snapToGrid w:val="0"/>
        </w:rPr>
      </w:pPr>
    </w:p>
    <w:p w:rsidR="00C55628" w:rsidRDefault="00C55628" w:rsidP="005D6C4F">
      <w:pPr>
        <w:tabs>
          <w:tab w:val="left" w:pos="1560"/>
        </w:tabs>
        <w:spacing w:before="40"/>
        <w:ind w:firstLine="425"/>
        <w:jc w:val="both"/>
        <w:rPr>
          <w:rFonts w:ascii="Tahoma" w:hAnsi="Tahoma" w:cs="Tahoma"/>
          <w:b/>
          <w:bCs/>
          <w:snapToGrid w:val="0"/>
        </w:rPr>
      </w:pPr>
      <w:r>
        <w:rPr>
          <w:rFonts w:ascii="Tahoma" w:hAnsi="Tahoma" w:cs="Tahoma"/>
          <w:b/>
          <w:bCs/>
          <w:snapToGrid w:val="0"/>
        </w:rPr>
        <w:t>V</w:t>
      </w:r>
      <w:r w:rsidRPr="00BD425C">
        <w:rPr>
          <w:rFonts w:ascii="Tahoma" w:hAnsi="Tahoma" w:cs="Tahoma"/>
          <w:b/>
          <w:bCs/>
          <w:snapToGrid w:val="0"/>
        </w:rPr>
        <w:t>eszélyre/kockázatra figyelmeztető H-mondat:</w:t>
      </w:r>
      <w:r>
        <w:rPr>
          <w:rFonts w:ascii="Tahoma" w:hAnsi="Tahoma" w:cs="Tahoma"/>
          <w:b/>
          <w:bCs/>
          <w:snapToGrid w:val="0"/>
        </w:rPr>
        <w:t xml:space="preserve"> </w:t>
      </w:r>
    </w:p>
    <w:p w:rsidR="00C55628" w:rsidRPr="00177E5D" w:rsidRDefault="00C55628" w:rsidP="00177E5D">
      <w:pPr>
        <w:ind w:firstLine="426"/>
        <w:rPr>
          <w:rFonts w:ascii="Tahoma" w:hAnsi="Tahoma" w:cs="Tahoma"/>
        </w:rPr>
      </w:pPr>
      <w:r w:rsidRPr="00177E5D">
        <w:rPr>
          <w:rFonts w:ascii="Tahoma" w:hAnsi="Tahoma" w:cs="Tahoma"/>
          <w:color w:val="000000"/>
        </w:rPr>
        <w:t>H319</w:t>
      </w:r>
      <w:r w:rsidRPr="00177E5D">
        <w:rPr>
          <w:rFonts w:ascii="Tahoma" w:hAnsi="Tahoma" w:cs="Tahoma"/>
          <w:color w:val="000000"/>
        </w:rPr>
        <w:tab/>
        <w:t>Súlyos szemirritációt okoz.</w:t>
      </w:r>
    </w:p>
    <w:p w:rsidR="00C55628" w:rsidRDefault="00C55628" w:rsidP="006205CC">
      <w:pPr>
        <w:tabs>
          <w:tab w:val="left" w:pos="567"/>
          <w:tab w:val="left" w:pos="742"/>
          <w:tab w:val="left" w:pos="1418"/>
          <w:tab w:val="left" w:pos="4395"/>
        </w:tabs>
        <w:spacing w:before="120"/>
        <w:ind w:firstLine="425"/>
        <w:jc w:val="both"/>
        <w:rPr>
          <w:rFonts w:ascii="Tahoma" w:hAnsi="Tahoma" w:cs="Tahoma"/>
          <w:snapToGrid w:val="0"/>
        </w:rPr>
      </w:pPr>
      <w:r w:rsidRPr="00BD425C">
        <w:rPr>
          <w:rFonts w:ascii="Tahoma" w:hAnsi="Tahoma" w:cs="Tahoma"/>
          <w:b/>
          <w:bCs/>
          <w:snapToGrid w:val="0"/>
        </w:rPr>
        <w:t xml:space="preserve">Óvintézkedésre vonatkozó </w:t>
      </w:r>
      <w:r>
        <w:rPr>
          <w:rFonts w:ascii="Tahoma" w:hAnsi="Tahoma" w:cs="Tahoma"/>
          <w:b/>
          <w:bCs/>
          <w:snapToGrid w:val="0"/>
        </w:rPr>
        <w:t>P-</w:t>
      </w:r>
      <w:r w:rsidRPr="00BD425C">
        <w:rPr>
          <w:rFonts w:ascii="Tahoma" w:hAnsi="Tahoma" w:cs="Tahoma"/>
          <w:b/>
          <w:bCs/>
          <w:snapToGrid w:val="0"/>
        </w:rPr>
        <w:t>mondat</w:t>
      </w:r>
      <w:r>
        <w:rPr>
          <w:rFonts w:ascii="Tahoma" w:hAnsi="Tahoma" w:cs="Tahoma"/>
          <w:b/>
          <w:bCs/>
          <w:snapToGrid w:val="0"/>
        </w:rPr>
        <w:t>ok</w:t>
      </w:r>
      <w:r w:rsidRPr="00BD425C">
        <w:rPr>
          <w:rFonts w:ascii="Tahoma" w:hAnsi="Tahoma" w:cs="Tahoma"/>
          <w:b/>
          <w:bCs/>
          <w:snapToGrid w:val="0"/>
        </w:rPr>
        <w:t>:</w:t>
      </w:r>
      <w:r w:rsidRPr="00623045">
        <w:rPr>
          <w:rFonts w:ascii="Tahoma" w:hAnsi="Tahoma" w:cs="Tahoma"/>
          <w:snapToGrid w:val="0"/>
        </w:rPr>
        <w:t xml:space="preserve"> </w:t>
      </w:r>
    </w:p>
    <w:p w:rsidR="00C55628" w:rsidRDefault="00C55628" w:rsidP="005D6C4F">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P102</w:t>
      </w:r>
      <w:r w:rsidRPr="0094486F">
        <w:rPr>
          <w:rFonts w:ascii="Tahoma" w:hAnsi="Tahoma" w:cs="Tahoma"/>
          <w:snapToGrid w:val="0"/>
        </w:rPr>
        <w:tab/>
        <w:t>Gyermekektől elzárva tartandó.</w:t>
      </w:r>
    </w:p>
    <w:p w:rsidR="00C55628" w:rsidRPr="008D7648" w:rsidRDefault="00C55628" w:rsidP="008D7648">
      <w:pPr>
        <w:tabs>
          <w:tab w:val="left" w:pos="567"/>
          <w:tab w:val="left" w:pos="742"/>
          <w:tab w:val="left" w:pos="1134"/>
          <w:tab w:val="left" w:pos="4395"/>
        </w:tabs>
        <w:spacing w:before="40"/>
        <w:ind w:firstLine="425"/>
        <w:jc w:val="both"/>
        <w:rPr>
          <w:rFonts w:ascii="Tahoma" w:hAnsi="Tahoma" w:cs="Tahoma"/>
          <w:snapToGrid w:val="0"/>
        </w:rPr>
      </w:pPr>
      <w:r w:rsidRPr="008D7648">
        <w:rPr>
          <w:rFonts w:ascii="Tahoma" w:hAnsi="Tahoma" w:cs="Tahoma"/>
          <w:b/>
          <w:bCs/>
          <w:snapToGrid w:val="0"/>
        </w:rPr>
        <w:t>P103</w:t>
      </w:r>
      <w:r w:rsidRPr="008D7648">
        <w:rPr>
          <w:rFonts w:ascii="Tahoma" w:hAnsi="Tahoma" w:cs="Tahoma"/>
          <w:b/>
          <w:bCs/>
          <w:snapToGrid w:val="0"/>
        </w:rPr>
        <w:tab/>
      </w:r>
      <w:r w:rsidRPr="008D7648">
        <w:rPr>
          <w:rFonts w:ascii="Tahoma" w:hAnsi="Tahoma" w:cs="Tahoma"/>
          <w:snapToGrid w:val="0"/>
        </w:rPr>
        <w:t>Használat előtt olvassa el a címkén közölt információkat.</w:t>
      </w:r>
    </w:p>
    <w:p w:rsidR="00C55628" w:rsidRDefault="00C55628" w:rsidP="005D6C4F">
      <w:pPr>
        <w:tabs>
          <w:tab w:val="left" w:pos="742"/>
          <w:tab w:val="left" w:pos="1134"/>
          <w:tab w:val="left" w:pos="2410"/>
          <w:tab w:val="left" w:pos="4395"/>
        </w:tabs>
        <w:spacing w:before="40"/>
        <w:ind w:left="1418" w:hanging="992"/>
        <w:jc w:val="both"/>
        <w:rPr>
          <w:rFonts w:ascii="Tahoma" w:hAnsi="Tahoma" w:cs="Tahoma"/>
          <w:snapToGrid w:val="0"/>
        </w:rPr>
      </w:pPr>
      <w:r w:rsidRPr="00CF0210">
        <w:rPr>
          <w:rFonts w:ascii="Tahoma" w:hAnsi="Tahoma" w:cs="Tahoma"/>
          <w:b/>
          <w:bCs/>
          <w:snapToGrid w:val="0"/>
        </w:rPr>
        <w:t>P305+P351+P338</w:t>
      </w:r>
      <w:r>
        <w:rPr>
          <w:rFonts w:ascii="Tahoma" w:hAnsi="Tahoma" w:cs="Tahoma"/>
          <w:b/>
          <w:bCs/>
          <w:snapToGrid w:val="0"/>
        </w:rPr>
        <w:tab/>
      </w:r>
      <w:r w:rsidRPr="0094486F">
        <w:rPr>
          <w:rFonts w:ascii="Tahoma" w:hAnsi="Tahoma" w:cs="Tahoma"/>
          <w:snapToGrid w:val="0"/>
        </w:rPr>
        <w:t xml:space="preserve">SZEMBE KERÜLÉS ESETÉN: </w:t>
      </w:r>
      <w:r>
        <w:rPr>
          <w:rFonts w:ascii="Tahoma" w:hAnsi="Tahoma" w:cs="Tahoma"/>
          <w:snapToGrid w:val="0"/>
        </w:rPr>
        <w:t>Több percig tartó óvatos öblítés vízzel</w:t>
      </w:r>
      <w:r w:rsidRPr="0094486F">
        <w:rPr>
          <w:rFonts w:ascii="Tahoma" w:hAnsi="Tahoma" w:cs="Tahoma"/>
          <w:snapToGrid w:val="0"/>
        </w:rPr>
        <w:t xml:space="preserve">. </w:t>
      </w:r>
    </w:p>
    <w:p w:rsidR="00C55628" w:rsidRDefault="00C55628" w:rsidP="005D6C4F">
      <w:pPr>
        <w:tabs>
          <w:tab w:val="left" w:pos="742"/>
          <w:tab w:val="left" w:pos="1134"/>
          <w:tab w:val="left" w:pos="4395"/>
        </w:tabs>
        <w:spacing w:before="40"/>
        <w:ind w:left="1418" w:firstLine="992"/>
        <w:jc w:val="both"/>
        <w:rPr>
          <w:rFonts w:ascii="Tahoma" w:hAnsi="Tahoma" w:cs="Tahoma"/>
          <w:snapToGrid w:val="0"/>
        </w:rPr>
      </w:pPr>
      <w:r w:rsidRPr="0094486F">
        <w:rPr>
          <w:rFonts w:ascii="Tahoma" w:hAnsi="Tahoma" w:cs="Tahoma"/>
          <w:snapToGrid w:val="0"/>
        </w:rPr>
        <w:t xml:space="preserve">Adott esetben a kontaktlencsék eltávolítása, ha könnyen megoldható. </w:t>
      </w:r>
    </w:p>
    <w:p w:rsidR="00C55628" w:rsidRDefault="00C55628" w:rsidP="005D6C4F">
      <w:pPr>
        <w:tabs>
          <w:tab w:val="left" w:pos="742"/>
          <w:tab w:val="left" w:pos="1134"/>
          <w:tab w:val="left" w:pos="4395"/>
        </w:tabs>
        <w:spacing w:before="40"/>
        <w:ind w:left="1418" w:firstLine="992"/>
        <w:jc w:val="both"/>
        <w:rPr>
          <w:rFonts w:ascii="Tahoma" w:hAnsi="Tahoma" w:cs="Tahoma"/>
          <w:snapToGrid w:val="0"/>
        </w:rPr>
      </w:pPr>
      <w:r w:rsidRPr="0094486F">
        <w:rPr>
          <w:rFonts w:ascii="Tahoma" w:hAnsi="Tahoma" w:cs="Tahoma"/>
          <w:snapToGrid w:val="0"/>
        </w:rPr>
        <w:t xml:space="preserve">Az öblítés folytatása. </w:t>
      </w:r>
    </w:p>
    <w:p w:rsidR="00C55628" w:rsidRPr="0094486F" w:rsidRDefault="00C55628" w:rsidP="006205CC">
      <w:pPr>
        <w:tabs>
          <w:tab w:val="left" w:pos="742"/>
          <w:tab w:val="left" w:pos="1134"/>
          <w:tab w:val="left" w:pos="2410"/>
          <w:tab w:val="left" w:pos="4395"/>
        </w:tabs>
        <w:spacing w:before="40"/>
        <w:ind w:left="1418" w:hanging="992"/>
        <w:jc w:val="both"/>
        <w:rPr>
          <w:rFonts w:ascii="Tahoma" w:hAnsi="Tahoma" w:cs="Tahoma"/>
          <w:snapToGrid w:val="0"/>
        </w:rPr>
      </w:pPr>
      <w:r w:rsidRPr="006205CC">
        <w:rPr>
          <w:rFonts w:ascii="Tahoma" w:hAnsi="Tahoma" w:cs="Tahoma"/>
          <w:b/>
          <w:bCs/>
          <w:snapToGrid w:val="0"/>
        </w:rPr>
        <w:t>P337+P313</w:t>
      </w:r>
      <w:r w:rsidRPr="006205CC">
        <w:rPr>
          <w:rFonts w:ascii="Tahoma" w:hAnsi="Tahoma" w:cs="Tahoma"/>
          <w:snapToGrid w:val="0"/>
        </w:rPr>
        <w:tab/>
        <w:t>Ha a szemirritáció nem múlik el: Orvosi ellátást kell kérni.</w:t>
      </w:r>
    </w:p>
    <w:bookmarkEnd w:id="0"/>
    <w:p w:rsidR="00C55628" w:rsidRDefault="00C55628" w:rsidP="00845210">
      <w:pPr>
        <w:tabs>
          <w:tab w:val="left" w:pos="426"/>
          <w:tab w:val="left" w:pos="1276"/>
          <w:tab w:val="left" w:pos="6379"/>
        </w:tabs>
        <w:spacing w:before="120" w:after="60"/>
        <w:jc w:val="both"/>
        <w:rPr>
          <w:rFonts w:ascii="Tahoma" w:hAnsi="Tahoma" w:cs="Tahoma"/>
          <w:b/>
          <w:bCs/>
          <w:snapToGrid w:val="0"/>
        </w:rPr>
      </w:pPr>
      <w:r>
        <w:rPr>
          <w:rFonts w:ascii="Tahoma" w:hAnsi="Tahoma" w:cs="Tahoma"/>
          <w:b/>
          <w:bCs/>
          <w:snapToGrid w:val="0"/>
        </w:rPr>
        <w:t xml:space="preserve">Összetétel: </w:t>
      </w:r>
      <w:r w:rsidRPr="00845210">
        <w:rPr>
          <w:rFonts w:ascii="Tahoma" w:hAnsi="Tahoma" w:cs="Tahoma"/>
          <w:snapToGrid w:val="0"/>
        </w:rPr>
        <w:t>citromsav</w:t>
      </w:r>
    </w:p>
    <w:p w:rsidR="00C55628" w:rsidRDefault="00C55628" w:rsidP="00E93F69">
      <w:pPr>
        <w:tabs>
          <w:tab w:val="left" w:pos="426"/>
          <w:tab w:val="left" w:pos="1276"/>
          <w:tab w:val="left" w:pos="6379"/>
        </w:tabs>
        <w:spacing w:before="120" w:after="60"/>
        <w:jc w:val="both"/>
        <w:rPr>
          <w:rFonts w:ascii="Tahoma" w:hAnsi="Tahoma" w:cs="Tahoma"/>
          <w:snapToGrid w:val="0"/>
        </w:rPr>
      </w:pPr>
      <w:r w:rsidRPr="00964C6F">
        <w:rPr>
          <w:rFonts w:ascii="Tahoma" w:hAnsi="Tahoma" w:cs="Tahoma"/>
          <w:b/>
          <w:bCs/>
          <w:snapToGrid w:val="0"/>
        </w:rPr>
        <w:t>Összetevők a 648/2004/EK rendelet szerint:</w:t>
      </w:r>
      <w:r>
        <w:rPr>
          <w:rFonts w:ascii="Tahoma" w:hAnsi="Tahoma" w:cs="Tahoma"/>
          <w:snapToGrid w:val="0"/>
        </w:rPr>
        <w:t xml:space="preserve"> &lt;5% nem ionos felületaktív anyag, Parfum </w:t>
      </w:r>
    </w:p>
    <w:p w:rsidR="00C55628" w:rsidRDefault="00C55628" w:rsidP="00B71939">
      <w:pPr>
        <w:spacing w:before="80"/>
        <w:jc w:val="both"/>
        <w:rPr>
          <w:rFonts w:ascii="Tahoma" w:hAnsi="Tahoma" w:cs="Tahoma"/>
          <w:snapToGrid w:val="0"/>
        </w:rPr>
      </w:pPr>
      <w:r w:rsidRPr="005F5F67">
        <w:rPr>
          <w:rFonts w:ascii="Tahoma" w:hAnsi="Tahoma" w:cs="Tahoma"/>
          <w:b/>
          <w:bCs/>
          <w:snapToGrid w:val="0"/>
        </w:rPr>
        <w:t>2.3. Egyéb veszély</w:t>
      </w:r>
      <w:r>
        <w:rPr>
          <w:rFonts w:ascii="Tahoma" w:hAnsi="Tahoma" w:cs="Tahoma"/>
          <w:b/>
          <w:bCs/>
          <w:snapToGrid w:val="0"/>
        </w:rPr>
        <w:t xml:space="preserve">ek: </w:t>
      </w:r>
      <w:r w:rsidRPr="00E56761">
        <w:rPr>
          <w:rFonts w:ascii="Tahoma" w:hAnsi="Tahoma" w:cs="Tahoma"/>
          <w:snapToGrid w:val="0"/>
        </w:rPr>
        <w:t>a termék nem tartalmaz különös aggodalomra okot ad</w:t>
      </w:r>
      <w:r>
        <w:rPr>
          <w:rFonts w:ascii="Tahoma" w:hAnsi="Tahoma" w:cs="Tahoma"/>
          <w:snapToGrid w:val="0"/>
        </w:rPr>
        <w:t>ó</w:t>
      </w:r>
      <w:r w:rsidRPr="00E56761">
        <w:rPr>
          <w:rFonts w:ascii="Tahoma" w:hAnsi="Tahoma" w:cs="Tahoma"/>
          <w:snapToGrid w:val="0"/>
        </w:rPr>
        <w:t xml:space="preserve"> (SVHC) anyagot, </w:t>
      </w:r>
      <w:r>
        <w:rPr>
          <w:rFonts w:ascii="Tahoma" w:hAnsi="Tahoma" w:cs="Tahoma"/>
          <w:snapToGrid w:val="0"/>
        </w:rPr>
        <w:t xml:space="preserve">illetve olyan anyagot, ami a különös aggodalomra okot adó anyagok jelöltlistáján szerepel; a lista közzétételre kerül a </w:t>
      </w:r>
      <w:r w:rsidRPr="00E56761">
        <w:rPr>
          <w:rFonts w:ascii="Tahoma" w:hAnsi="Tahoma" w:cs="Tahoma"/>
          <w:snapToGrid w:val="0"/>
        </w:rPr>
        <w:t>REACH 5</w:t>
      </w:r>
      <w:r>
        <w:rPr>
          <w:rFonts w:ascii="Tahoma" w:hAnsi="Tahoma" w:cs="Tahoma"/>
          <w:snapToGrid w:val="0"/>
        </w:rPr>
        <w:t>9</w:t>
      </w:r>
      <w:r w:rsidRPr="00E56761">
        <w:rPr>
          <w:rFonts w:ascii="Tahoma" w:hAnsi="Tahoma" w:cs="Tahoma"/>
          <w:snapToGrid w:val="0"/>
        </w:rPr>
        <w:t xml:space="preserve">. cikk </w:t>
      </w:r>
      <w:r>
        <w:rPr>
          <w:rFonts w:ascii="Tahoma" w:hAnsi="Tahoma" w:cs="Tahoma"/>
          <w:snapToGrid w:val="0"/>
        </w:rPr>
        <w:t xml:space="preserve">(10) </w:t>
      </w:r>
      <w:r w:rsidRPr="00E56761">
        <w:rPr>
          <w:rFonts w:ascii="Tahoma" w:hAnsi="Tahoma" w:cs="Tahoma"/>
          <w:snapToGrid w:val="0"/>
        </w:rPr>
        <w:t>értelmében</w:t>
      </w:r>
      <w:r>
        <w:rPr>
          <w:rFonts w:ascii="Tahoma" w:hAnsi="Tahoma" w:cs="Tahoma"/>
          <w:snapToGrid w:val="0"/>
        </w:rPr>
        <w:t xml:space="preserve">, lásd ECHA honlap: </w:t>
      </w:r>
      <w:hyperlink r:id="rId8" w:history="1">
        <w:r w:rsidRPr="00A54E27">
          <w:rPr>
            <w:rStyle w:val="Hyperlink"/>
            <w:rFonts w:ascii="Tahoma" w:hAnsi="Tahoma" w:cs="Tahoma"/>
            <w:snapToGrid w:val="0"/>
          </w:rPr>
          <w:t>http://echa.europa.eu/candidate-list-table</w:t>
        </w:r>
      </w:hyperlink>
    </w:p>
    <w:p w:rsidR="00C55628" w:rsidRDefault="00C55628" w:rsidP="00B71939">
      <w:pPr>
        <w:rPr>
          <w:rFonts w:ascii="Tahoma" w:hAnsi="Tahoma" w:cs="Tahoma"/>
          <w:snapToGrid w:val="0"/>
        </w:rPr>
      </w:pPr>
      <w:r>
        <w:rPr>
          <w:rFonts w:ascii="Tahoma" w:hAnsi="Tahoma" w:cs="Tahoma"/>
          <w:snapToGrid w:val="0"/>
        </w:rPr>
        <w:t>A termék nem tartalmaz a REACH XIII. mellékletének kritériumai szerinti PBT, ill. vPvB anyagot.</w:t>
      </w:r>
    </w:p>
    <w:p w:rsidR="00C55628" w:rsidRDefault="00C55628" w:rsidP="005D6C4F">
      <w:pPr>
        <w:pStyle w:val="BodyTextIndent"/>
        <w:spacing w:before="40"/>
        <w:ind w:left="0"/>
      </w:pPr>
      <w:r w:rsidRPr="00CF5948">
        <w:rPr>
          <w:b/>
          <w:bCs/>
        </w:rPr>
        <w:t>Fizikai-kémiai veszély:</w:t>
      </w:r>
      <w:r w:rsidRPr="00CF5948">
        <w:t xml:space="preserve"> nem lép fel.</w:t>
      </w:r>
      <w:r>
        <w:t xml:space="preserve"> </w:t>
      </w:r>
    </w:p>
    <w:p w:rsidR="00C55628" w:rsidRDefault="00C55628" w:rsidP="005D6C4F">
      <w:pPr>
        <w:pStyle w:val="BodyTextIndent"/>
        <w:spacing w:before="40"/>
        <w:ind w:left="0"/>
      </w:pPr>
      <w:r>
        <w:rPr>
          <w:b/>
          <w:bCs/>
        </w:rPr>
        <w:t>Egészségkárosító veszély:</w:t>
      </w:r>
      <w:r>
        <w:t xml:space="preserve"> szembe jutva irritál tartós és többszöri érintkezés esetén szemkárosodást okozhat. </w:t>
      </w:r>
    </w:p>
    <w:p w:rsidR="00C55628" w:rsidRPr="00C77963" w:rsidRDefault="00C55628" w:rsidP="005D6C4F">
      <w:pPr>
        <w:tabs>
          <w:tab w:val="left" w:pos="1701"/>
          <w:tab w:val="left" w:pos="2127"/>
          <w:tab w:val="left" w:pos="4962"/>
        </w:tabs>
        <w:spacing w:before="40"/>
        <w:jc w:val="both"/>
        <w:rPr>
          <w:rFonts w:ascii="Tahoma" w:hAnsi="Tahoma" w:cs="Tahoma"/>
        </w:rPr>
      </w:pPr>
      <w:r w:rsidRPr="00C77963">
        <w:rPr>
          <w:rFonts w:ascii="Tahoma" w:hAnsi="Tahoma" w:cs="Tahoma"/>
          <w:b/>
          <w:bCs/>
        </w:rPr>
        <w:t>Környezetkárosító hatás:</w:t>
      </w:r>
      <w:r w:rsidRPr="00C77963">
        <w:rPr>
          <w:rFonts w:ascii="Tahoma" w:hAnsi="Tahoma" w:cs="Tahoma"/>
        </w:rPr>
        <w:t xml:space="preserve"> </w:t>
      </w:r>
      <w:r>
        <w:rPr>
          <w:rFonts w:ascii="Tahoma" w:hAnsi="Tahoma" w:cs="Tahoma"/>
        </w:rPr>
        <w:t>e</w:t>
      </w:r>
      <w:r w:rsidRPr="00C77963">
        <w:rPr>
          <w:rFonts w:ascii="Tahoma" w:hAnsi="Tahoma" w:cs="Tahoma"/>
        </w:rPr>
        <w:t>lőírásszerű kezelés, tárolás és ártalmatlanítás esetén a környezetkárosító hatás kockázatával nem kell számolni.</w:t>
      </w:r>
    </w:p>
    <w:p w:rsidR="00C55628" w:rsidRDefault="00C55628" w:rsidP="00F36B95">
      <w:pPr>
        <w:keepNext/>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3. szakasz: Összetétel vagy az összetevőkre vonatkozó adatok</w:t>
      </w:r>
    </w:p>
    <w:p w:rsidR="00C55628" w:rsidRDefault="00C55628" w:rsidP="0021392C">
      <w:pPr>
        <w:spacing w:after="120"/>
        <w:ind w:left="1276" w:hanging="1276"/>
        <w:jc w:val="both"/>
        <w:rPr>
          <w:rFonts w:ascii="Tahoma" w:hAnsi="Tahoma" w:cs="Tahoma"/>
          <w:snapToGrid w:val="0"/>
        </w:rPr>
      </w:pPr>
      <w:r>
        <w:rPr>
          <w:rFonts w:ascii="Tahoma" w:hAnsi="Tahoma" w:cs="Tahoma"/>
          <w:b/>
          <w:bCs/>
          <w:snapToGrid w:val="0"/>
        </w:rPr>
        <w:t>3.1. K</w:t>
      </w:r>
      <w:r w:rsidRPr="00BE081B">
        <w:rPr>
          <w:rFonts w:ascii="Tahoma" w:hAnsi="Tahoma" w:cs="Tahoma"/>
          <w:b/>
          <w:bCs/>
          <w:snapToGrid w:val="0"/>
        </w:rPr>
        <w:t>émiai jelleg:</w:t>
      </w:r>
      <w:r>
        <w:rPr>
          <w:rFonts w:ascii="Tahoma" w:hAnsi="Tahoma" w:cs="Tahoma"/>
          <w:snapToGrid w:val="0"/>
        </w:rPr>
        <w:t xml:space="preserve"> keverék, vizes oldat.</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11"/>
        <w:gridCol w:w="1417"/>
        <w:gridCol w:w="3270"/>
      </w:tblGrid>
      <w:tr w:rsidR="00C55628" w:rsidRPr="00501707">
        <w:trPr>
          <w:cantSplit/>
          <w:trHeight w:val="335"/>
          <w:jc w:val="center"/>
        </w:trPr>
        <w:tc>
          <w:tcPr>
            <w:tcW w:w="4111" w:type="dxa"/>
            <w:vAlign w:val="center"/>
          </w:tcPr>
          <w:p w:rsidR="00C55628" w:rsidRPr="00501707" w:rsidRDefault="00C55628" w:rsidP="0068433E">
            <w:pPr>
              <w:ind w:left="204" w:right="62"/>
              <w:jc w:val="center"/>
              <w:rPr>
                <w:rFonts w:ascii="Tahoma" w:hAnsi="Tahoma" w:cs="Tahoma"/>
                <w:b/>
                <w:bCs/>
                <w:sz w:val="18"/>
                <w:szCs w:val="18"/>
              </w:rPr>
            </w:pPr>
            <w:r w:rsidRPr="00501707">
              <w:rPr>
                <w:rFonts w:ascii="Tahoma" w:hAnsi="Tahoma" w:cs="Tahoma"/>
                <w:b/>
                <w:bCs/>
                <w:sz w:val="18"/>
                <w:szCs w:val="18"/>
              </w:rPr>
              <w:t>Veszélyes összetevő</w:t>
            </w:r>
          </w:p>
        </w:tc>
        <w:tc>
          <w:tcPr>
            <w:tcW w:w="1417" w:type="dxa"/>
            <w:vAlign w:val="center"/>
          </w:tcPr>
          <w:p w:rsidR="00C55628" w:rsidRPr="00501707" w:rsidRDefault="00C55628" w:rsidP="0068433E">
            <w:pPr>
              <w:ind w:left="61" w:right="62"/>
              <w:jc w:val="center"/>
              <w:rPr>
                <w:rFonts w:ascii="Tahoma" w:hAnsi="Tahoma" w:cs="Tahoma"/>
                <w:b/>
                <w:bCs/>
                <w:snapToGrid w:val="0"/>
                <w:sz w:val="18"/>
                <w:szCs w:val="18"/>
              </w:rPr>
            </w:pPr>
            <w:r w:rsidRPr="00501707">
              <w:rPr>
                <w:rFonts w:ascii="Tahoma" w:hAnsi="Tahoma" w:cs="Tahoma"/>
                <w:b/>
                <w:bCs/>
                <w:snapToGrid w:val="0"/>
                <w:sz w:val="18"/>
                <w:szCs w:val="18"/>
              </w:rPr>
              <w:t>Koncentráció</w:t>
            </w:r>
          </w:p>
        </w:tc>
        <w:tc>
          <w:tcPr>
            <w:tcW w:w="3270" w:type="dxa"/>
            <w:vAlign w:val="center"/>
          </w:tcPr>
          <w:p w:rsidR="00C55628" w:rsidRPr="00501707" w:rsidRDefault="00C55628" w:rsidP="00E65D49">
            <w:pPr>
              <w:spacing w:before="80" w:after="80"/>
              <w:ind w:left="204" w:right="62" w:hanging="204"/>
              <w:jc w:val="center"/>
              <w:rPr>
                <w:rFonts w:ascii="Tahoma" w:hAnsi="Tahoma" w:cs="Tahoma"/>
                <w:b/>
                <w:bCs/>
                <w:snapToGrid w:val="0"/>
                <w:sz w:val="18"/>
                <w:szCs w:val="18"/>
              </w:rPr>
            </w:pPr>
            <w:r>
              <w:rPr>
                <w:rFonts w:ascii="Tahoma" w:hAnsi="Tahoma" w:cs="Tahoma"/>
                <w:b/>
                <w:bCs/>
                <w:snapToGrid w:val="0"/>
                <w:sz w:val="18"/>
                <w:szCs w:val="18"/>
              </w:rPr>
              <w:t>Veszélyességi osztály, k</w:t>
            </w:r>
            <w:r w:rsidRPr="00501707">
              <w:rPr>
                <w:rFonts w:ascii="Tahoma" w:hAnsi="Tahoma" w:cs="Tahoma"/>
                <w:b/>
                <w:bCs/>
                <w:snapToGrid w:val="0"/>
                <w:sz w:val="18"/>
                <w:szCs w:val="18"/>
              </w:rPr>
              <w:t>ategória</w:t>
            </w:r>
            <w:r>
              <w:rPr>
                <w:rFonts w:ascii="Tahoma" w:hAnsi="Tahoma" w:cs="Tahoma"/>
                <w:b/>
                <w:bCs/>
                <w:snapToGrid w:val="0"/>
                <w:sz w:val="18"/>
                <w:szCs w:val="18"/>
              </w:rPr>
              <w:t>,</w:t>
            </w:r>
            <w:r w:rsidRPr="00501707">
              <w:rPr>
                <w:rFonts w:ascii="Tahoma" w:hAnsi="Tahoma" w:cs="Tahoma"/>
                <w:b/>
                <w:bCs/>
                <w:snapToGrid w:val="0"/>
                <w:sz w:val="18"/>
                <w:szCs w:val="18"/>
              </w:rPr>
              <w:t xml:space="preserve"> </w:t>
            </w:r>
            <w:r>
              <w:rPr>
                <w:rFonts w:ascii="Tahoma" w:hAnsi="Tahoma" w:cs="Tahoma"/>
                <w:b/>
                <w:bCs/>
                <w:snapToGrid w:val="0"/>
                <w:sz w:val="18"/>
                <w:szCs w:val="18"/>
              </w:rPr>
              <w:br/>
            </w:r>
            <w:r w:rsidRPr="00501707">
              <w:rPr>
                <w:rFonts w:ascii="Tahoma" w:hAnsi="Tahoma" w:cs="Tahoma"/>
                <w:b/>
                <w:bCs/>
                <w:snapToGrid w:val="0"/>
                <w:sz w:val="18"/>
                <w:szCs w:val="18"/>
              </w:rPr>
              <w:t>H-mondat</w:t>
            </w:r>
          </w:p>
        </w:tc>
      </w:tr>
      <w:tr w:rsidR="00C55628" w:rsidRPr="0059199F">
        <w:trPr>
          <w:cantSplit/>
          <w:trHeight w:val="335"/>
          <w:jc w:val="center"/>
        </w:trPr>
        <w:tc>
          <w:tcPr>
            <w:tcW w:w="4111" w:type="dxa"/>
            <w:vAlign w:val="center"/>
          </w:tcPr>
          <w:p w:rsidR="00C55628" w:rsidRPr="0059199F" w:rsidRDefault="00C55628" w:rsidP="00DB1675">
            <w:pPr>
              <w:tabs>
                <w:tab w:val="left" w:pos="2153"/>
              </w:tabs>
              <w:spacing w:before="20"/>
              <w:ind w:left="57" w:right="215" w:firstLine="91"/>
              <w:rPr>
                <w:rFonts w:ascii="Tahoma" w:hAnsi="Tahoma" w:cs="Tahoma"/>
                <w:sz w:val="18"/>
                <w:szCs w:val="18"/>
              </w:rPr>
            </w:pPr>
            <w:r w:rsidRPr="0059199F">
              <w:rPr>
                <w:rFonts w:ascii="Tahoma" w:hAnsi="Tahoma" w:cs="Tahoma"/>
                <w:sz w:val="18"/>
                <w:szCs w:val="18"/>
              </w:rPr>
              <w:t>Citromsav monohidrát</w:t>
            </w:r>
          </w:p>
          <w:p w:rsidR="00C55628" w:rsidRDefault="00C55628" w:rsidP="00DB1675">
            <w:pPr>
              <w:tabs>
                <w:tab w:val="left" w:pos="1997"/>
              </w:tabs>
              <w:ind w:left="57" w:right="215" w:firstLine="91"/>
              <w:rPr>
                <w:rFonts w:ascii="Tahoma" w:hAnsi="Tahoma" w:cs="Tahoma"/>
                <w:sz w:val="18"/>
                <w:szCs w:val="18"/>
              </w:rPr>
            </w:pPr>
            <w:r w:rsidRPr="0059199F">
              <w:rPr>
                <w:rFonts w:ascii="Tahoma" w:hAnsi="Tahoma" w:cs="Tahoma"/>
                <w:sz w:val="18"/>
                <w:szCs w:val="18"/>
              </w:rPr>
              <w:t>CAS-szám: 5949-29-1</w:t>
            </w:r>
            <w:r>
              <w:rPr>
                <w:rFonts w:ascii="Tahoma" w:hAnsi="Tahoma" w:cs="Tahoma"/>
                <w:sz w:val="18"/>
                <w:szCs w:val="18"/>
              </w:rPr>
              <w:tab/>
            </w:r>
            <w:r w:rsidRPr="0059199F">
              <w:rPr>
                <w:rFonts w:ascii="Tahoma" w:hAnsi="Tahoma" w:cs="Tahoma"/>
                <w:sz w:val="18"/>
                <w:szCs w:val="18"/>
              </w:rPr>
              <w:t>EK-szám: 201-069-1</w:t>
            </w:r>
          </w:p>
          <w:p w:rsidR="00C55628" w:rsidRPr="0059199F" w:rsidRDefault="00C55628" w:rsidP="00DB1675">
            <w:pPr>
              <w:tabs>
                <w:tab w:val="left" w:pos="2153"/>
              </w:tabs>
              <w:spacing w:after="40"/>
              <w:ind w:left="57" w:right="215" w:firstLine="91"/>
              <w:rPr>
                <w:rFonts w:ascii="Tahoma" w:hAnsi="Tahoma" w:cs="Tahoma"/>
                <w:sz w:val="18"/>
                <w:szCs w:val="18"/>
              </w:rPr>
            </w:pPr>
            <w:r>
              <w:rPr>
                <w:rFonts w:ascii="Tahoma" w:hAnsi="Tahoma" w:cs="Tahoma"/>
                <w:sz w:val="18"/>
                <w:szCs w:val="18"/>
              </w:rPr>
              <w:t>RRN: 01 -2119457026-42-xxxx</w:t>
            </w:r>
          </w:p>
        </w:tc>
        <w:tc>
          <w:tcPr>
            <w:tcW w:w="1417" w:type="dxa"/>
            <w:vAlign w:val="center"/>
          </w:tcPr>
          <w:p w:rsidR="00C55628" w:rsidRPr="0059199F" w:rsidRDefault="00C55628" w:rsidP="00DB1675">
            <w:pPr>
              <w:ind w:left="61" w:right="62"/>
              <w:jc w:val="center"/>
              <w:rPr>
                <w:rFonts w:ascii="Tahoma" w:hAnsi="Tahoma" w:cs="Tahoma"/>
                <w:snapToGrid w:val="0"/>
                <w:sz w:val="18"/>
                <w:szCs w:val="18"/>
              </w:rPr>
            </w:pPr>
            <w:r>
              <w:rPr>
                <w:rFonts w:ascii="Tahoma" w:hAnsi="Tahoma" w:cs="Tahoma"/>
                <w:snapToGrid w:val="0"/>
                <w:sz w:val="18"/>
                <w:szCs w:val="18"/>
              </w:rPr>
              <w:t>5-15%</w:t>
            </w:r>
          </w:p>
        </w:tc>
        <w:tc>
          <w:tcPr>
            <w:tcW w:w="3270" w:type="dxa"/>
            <w:vAlign w:val="center"/>
          </w:tcPr>
          <w:p w:rsidR="00C55628" w:rsidRPr="0059199F" w:rsidRDefault="00C55628" w:rsidP="005D6C4F">
            <w:pPr>
              <w:tabs>
                <w:tab w:val="left" w:pos="650"/>
              </w:tabs>
              <w:ind w:left="204" w:hanging="62"/>
              <w:rPr>
                <w:rFonts w:ascii="Tahoma" w:hAnsi="Tahoma" w:cs="Tahoma"/>
                <w:snapToGrid w:val="0"/>
                <w:sz w:val="18"/>
                <w:szCs w:val="18"/>
              </w:rPr>
            </w:pPr>
            <w:r>
              <w:rPr>
                <w:rFonts w:ascii="Tahoma" w:hAnsi="Tahoma" w:cs="Tahoma"/>
                <w:snapToGrid w:val="0"/>
                <w:sz w:val="18"/>
                <w:szCs w:val="18"/>
              </w:rPr>
              <w:t>Eye Irrit. 2, H319</w:t>
            </w:r>
          </w:p>
        </w:tc>
      </w:tr>
      <w:tr w:rsidR="00C55628" w:rsidRPr="0059199F">
        <w:trPr>
          <w:cantSplit/>
          <w:trHeight w:val="335"/>
          <w:jc w:val="center"/>
        </w:trPr>
        <w:tc>
          <w:tcPr>
            <w:tcW w:w="4111" w:type="dxa"/>
            <w:vAlign w:val="center"/>
          </w:tcPr>
          <w:p w:rsidR="00C55628" w:rsidRDefault="00C55628" w:rsidP="00DB1675">
            <w:pPr>
              <w:tabs>
                <w:tab w:val="left" w:pos="2153"/>
              </w:tabs>
              <w:spacing w:before="20"/>
              <w:ind w:left="57" w:right="215" w:firstLine="91"/>
              <w:rPr>
                <w:rFonts w:ascii="Tahoma" w:hAnsi="Tahoma" w:cs="Tahoma"/>
                <w:sz w:val="18"/>
                <w:szCs w:val="18"/>
              </w:rPr>
            </w:pPr>
            <w:r>
              <w:rPr>
                <w:rFonts w:ascii="Tahoma" w:hAnsi="Tahoma" w:cs="Tahoma"/>
                <w:sz w:val="18"/>
                <w:szCs w:val="18"/>
              </w:rPr>
              <w:t>N,N-dimetil-tetradecilamin-N-oxid</w:t>
            </w:r>
          </w:p>
          <w:p w:rsidR="00C55628" w:rsidRPr="0059199F" w:rsidRDefault="00C55628" w:rsidP="00DB1675">
            <w:pPr>
              <w:tabs>
                <w:tab w:val="left" w:pos="1997"/>
              </w:tabs>
              <w:spacing w:before="20"/>
              <w:ind w:left="57" w:right="215" w:firstLine="91"/>
              <w:rPr>
                <w:rFonts w:ascii="Tahoma" w:hAnsi="Tahoma" w:cs="Tahoma"/>
                <w:sz w:val="18"/>
                <w:szCs w:val="18"/>
              </w:rPr>
            </w:pPr>
            <w:r>
              <w:rPr>
                <w:rFonts w:ascii="Tahoma" w:hAnsi="Tahoma" w:cs="Tahoma"/>
                <w:sz w:val="18"/>
                <w:szCs w:val="18"/>
              </w:rPr>
              <w:t>CAS-szám: 3332-27-2</w:t>
            </w:r>
            <w:r>
              <w:rPr>
                <w:rFonts w:ascii="Tahoma" w:hAnsi="Tahoma" w:cs="Tahoma"/>
                <w:sz w:val="18"/>
                <w:szCs w:val="18"/>
              </w:rPr>
              <w:tab/>
              <w:t>EK-szám: 222-059-3</w:t>
            </w:r>
          </w:p>
        </w:tc>
        <w:tc>
          <w:tcPr>
            <w:tcW w:w="1417" w:type="dxa"/>
            <w:vAlign w:val="center"/>
          </w:tcPr>
          <w:p w:rsidR="00C55628" w:rsidRDefault="00C55628" w:rsidP="00B5250F">
            <w:pPr>
              <w:ind w:left="61" w:right="62"/>
              <w:jc w:val="center"/>
              <w:rPr>
                <w:rFonts w:ascii="Tahoma" w:hAnsi="Tahoma" w:cs="Tahoma"/>
                <w:snapToGrid w:val="0"/>
                <w:sz w:val="18"/>
                <w:szCs w:val="18"/>
              </w:rPr>
            </w:pPr>
            <w:r>
              <w:rPr>
                <w:rFonts w:ascii="Tahoma" w:hAnsi="Tahoma" w:cs="Tahoma"/>
                <w:snapToGrid w:val="0"/>
                <w:sz w:val="18"/>
                <w:szCs w:val="18"/>
              </w:rPr>
              <w:t>0 – 1%</w:t>
            </w:r>
          </w:p>
        </w:tc>
        <w:tc>
          <w:tcPr>
            <w:tcW w:w="3270" w:type="dxa"/>
            <w:vAlign w:val="center"/>
          </w:tcPr>
          <w:p w:rsidR="00C55628" w:rsidRDefault="00C55628" w:rsidP="00DB1675">
            <w:pPr>
              <w:tabs>
                <w:tab w:val="left" w:pos="650"/>
              </w:tabs>
              <w:spacing w:before="40"/>
              <w:ind w:left="204" w:hanging="62"/>
              <w:rPr>
                <w:rFonts w:ascii="Tahoma" w:hAnsi="Tahoma" w:cs="Tahoma"/>
                <w:snapToGrid w:val="0"/>
                <w:sz w:val="18"/>
                <w:szCs w:val="18"/>
              </w:rPr>
            </w:pPr>
            <w:r>
              <w:rPr>
                <w:rFonts w:ascii="Tahoma" w:hAnsi="Tahoma" w:cs="Tahoma"/>
                <w:snapToGrid w:val="0"/>
                <w:sz w:val="18"/>
                <w:szCs w:val="18"/>
              </w:rPr>
              <w:t>Acute Tox. (oral) 4, H302</w:t>
            </w:r>
          </w:p>
          <w:p w:rsidR="00C55628" w:rsidRDefault="00C55628" w:rsidP="005D6C4F">
            <w:pPr>
              <w:tabs>
                <w:tab w:val="left" w:pos="650"/>
              </w:tabs>
              <w:ind w:left="204" w:hanging="62"/>
              <w:rPr>
                <w:rFonts w:ascii="Tahoma" w:hAnsi="Tahoma" w:cs="Tahoma"/>
                <w:snapToGrid w:val="0"/>
                <w:sz w:val="18"/>
                <w:szCs w:val="18"/>
              </w:rPr>
            </w:pPr>
            <w:r>
              <w:rPr>
                <w:rFonts w:ascii="Tahoma" w:hAnsi="Tahoma" w:cs="Tahoma"/>
                <w:snapToGrid w:val="0"/>
                <w:sz w:val="18"/>
                <w:szCs w:val="18"/>
              </w:rPr>
              <w:t>Eye Dam. 1, H318, Skin Irrit. 2, H315</w:t>
            </w:r>
          </w:p>
          <w:p w:rsidR="00C55628" w:rsidRDefault="00C55628" w:rsidP="00DB1675">
            <w:pPr>
              <w:tabs>
                <w:tab w:val="left" w:pos="650"/>
              </w:tabs>
              <w:spacing w:after="40"/>
              <w:ind w:left="204" w:hanging="62"/>
              <w:rPr>
                <w:rFonts w:ascii="Tahoma" w:hAnsi="Tahoma" w:cs="Tahoma"/>
                <w:snapToGrid w:val="0"/>
                <w:sz w:val="18"/>
                <w:szCs w:val="18"/>
              </w:rPr>
            </w:pPr>
            <w:r>
              <w:rPr>
                <w:rFonts w:ascii="Tahoma" w:hAnsi="Tahoma" w:cs="Tahoma"/>
                <w:snapToGrid w:val="0"/>
                <w:sz w:val="18"/>
                <w:szCs w:val="18"/>
              </w:rPr>
              <w:t>Aquatic Acute 1, H400; M</w:t>
            </w:r>
            <w:r w:rsidRPr="00B71939">
              <w:rPr>
                <w:rFonts w:ascii="Tahoma" w:hAnsi="Tahoma" w:cs="Tahoma"/>
                <w:snapToGrid w:val="0"/>
                <w:sz w:val="18"/>
                <w:szCs w:val="18"/>
                <w:vertAlign w:val="subscript"/>
              </w:rPr>
              <w:t>(akut)</w:t>
            </w:r>
            <w:r>
              <w:rPr>
                <w:rFonts w:ascii="Tahoma" w:hAnsi="Tahoma" w:cs="Tahoma"/>
                <w:snapToGrid w:val="0"/>
                <w:sz w:val="18"/>
                <w:szCs w:val="18"/>
              </w:rPr>
              <w:t>:1</w:t>
            </w:r>
          </w:p>
        </w:tc>
      </w:tr>
    </w:tbl>
    <w:p w:rsidR="00C55628" w:rsidRDefault="00C55628" w:rsidP="008C1723">
      <w:pPr>
        <w:pStyle w:val="BodyTextIndent"/>
        <w:spacing w:before="120"/>
        <w:ind w:left="0"/>
      </w:pPr>
      <w:r w:rsidRPr="00CC1500">
        <w:t>A gyártó más veszélyes összetevő jelenlétét nem jelzi</w:t>
      </w:r>
      <w:r>
        <w:t xml:space="preserve">. Az </w:t>
      </w:r>
      <w:r w:rsidRPr="00CC1500">
        <w:t xml:space="preserve">egyéb összetevők </w:t>
      </w:r>
      <w:r>
        <w:t>n</w:t>
      </w:r>
      <w:r w:rsidRPr="00CC1500">
        <w:t>em tekinthetők a hatályos jogszabályok szerint veszélyes anyagnak vagy koncentrációjuk a termékben nem éri el azt a mértéket, amely fölött jelenlétét a veszélyesség szerinti besorolásnál fel kell tüntetni, illetve figyelembe kell venni.</w:t>
      </w:r>
    </w:p>
    <w:p w:rsidR="00C55628" w:rsidRPr="00B71939" w:rsidRDefault="00C55628" w:rsidP="00A2200F">
      <w:pPr>
        <w:tabs>
          <w:tab w:val="left" w:pos="284"/>
        </w:tabs>
        <w:spacing w:before="40"/>
        <w:jc w:val="both"/>
        <w:rPr>
          <w:rFonts w:ascii="Tahoma" w:hAnsi="Tahoma" w:cs="Tahoma"/>
          <w:snapToGrid w:val="0"/>
          <w:sz w:val="18"/>
          <w:szCs w:val="18"/>
        </w:rPr>
      </w:pPr>
      <w:r w:rsidRPr="00B71939">
        <w:rPr>
          <w:rFonts w:ascii="Tahoma" w:hAnsi="Tahoma" w:cs="Tahoma"/>
          <w:snapToGrid w:val="0"/>
          <w:sz w:val="18"/>
          <w:szCs w:val="18"/>
        </w:rPr>
        <w:t>A veszélyességi osztályok, H-mondatok a tiszta komponensekre vonatkoznak, a termék veszélyesség szerinti besorolását a 2. szakasz adja meg. A H-mondatok teljes szövegét lásd a 16. szakaszban.</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4. szakasz: Elsősegély-nyújtási intézkedések</w:t>
      </w:r>
    </w:p>
    <w:p w:rsidR="00C55628" w:rsidRPr="005840A9" w:rsidRDefault="00C55628" w:rsidP="005D6C4F">
      <w:pPr>
        <w:pStyle w:val="BodyTextIndent"/>
        <w:ind w:left="0"/>
      </w:pPr>
      <w:r w:rsidRPr="005840A9">
        <w:rPr>
          <w:b/>
          <w:bCs/>
        </w:rPr>
        <w:t>Általános tudnivalók:</w:t>
      </w:r>
      <w:r w:rsidRPr="005840A9">
        <w:t xml:space="preserve"> A sérültet távolítsuk el a veszély forrásától. Az elszennyeződött ruházatot és lábbelit le kell venni. Eszméletlen vagy görcsös állapotban lévő </w:t>
      </w:r>
      <w:r>
        <w:t>sérülttel</w:t>
      </w:r>
      <w:r w:rsidRPr="005840A9">
        <w:t xml:space="preserve"> folyadékot itatni vagy annál hányást kiváltani nem szabad! </w:t>
      </w:r>
    </w:p>
    <w:p w:rsidR="00C55628" w:rsidRPr="005840A9" w:rsidRDefault="00C55628" w:rsidP="005D6C4F">
      <w:pPr>
        <w:pStyle w:val="BodyTextIndent"/>
        <w:spacing w:before="40"/>
        <w:ind w:left="0"/>
        <w:rPr>
          <w:b/>
          <w:bCs/>
        </w:rPr>
      </w:pPr>
      <w:r w:rsidRPr="005840A9">
        <w:rPr>
          <w:b/>
          <w:bCs/>
        </w:rPr>
        <w:t>4.1. Az elsősegély-nyújtási intézkedések ismertetése</w:t>
      </w:r>
    </w:p>
    <w:p w:rsidR="00C55628" w:rsidRDefault="00C55628" w:rsidP="005D6C4F">
      <w:pPr>
        <w:pStyle w:val="BodyTextIndent"/>
        <w:spacing w:before="40"/>
        <w:ind w:left="0"/>
        <w:rPr>
          <w:b/>
          <w:bCs/>
        </w:rPr>
      </w:pPr>
      <w:r w:rsidRPr="001451C7">
        <w:rPr>
          <w:b/>
          <w:bCs/>
        </w:rPr>
        <w:t>Belélegzés esetén:</w:t>
      </w:r>
      <w:r w:rsidRPr="001451C7">
        <w:t xml:space="preserve"> </w:t>
      </w:r>
      <w:r>
        <w:t>a</w:t>
      </w:r>
      <w:r w:rsidRPr="001451C7">
        <w:t xml:space="preserve"> sérültet friss levegőre kell vinni</w:t>
      </w:r>
      <w:r>
        <w:t>.</w:t>
      </w:r>
      <w:r w:rsidRPr="001451C7">
        <w:rPr>
          <w:b/>
          <w:bCs/>
        </w:rPr>
        <w:t xml:space="preserve"> </w:t>
      </w:r>
    </w:p>
    <w:p w:rsidR="00C55628" w:rsidRDefault="00C55628" w:rsidP="005D6C4F">
      <w:pPr>
        <w:pStyle w:val="BodyTextIndent"/>
        <w:spacing w:before="40"/>
        <w:ind w:left="0"/>
      </w:pPr>
      <w:r>
        <w:rPr>
          <w:b/>
          <w:bCs/>
        </w:rPr>
        <w:t>B</w:t>
      </w:r>
      <w:r w:rsidRPr="001451C7">
        <w:rPr>
          <w:b/>
          <w:bCs/>
        </w:rPr>
        <w:t>őrrel való érintkezés esetén:</w:t>
      </w:r>
      <w:r>
        <w:t xml:space="preserve"> mossuk szappannal és vízzel az érintett bőrfelületet, majd folyó</w:t>
      </w:r>
      <w:r w:rsidRPr="001451C7">
        <w:t>vízzel</w:t>
      </w:r>
      <w:r>
        <w:t xml:space="preserve"> alaposan</w:t>
      </w:r>
      <w:r w:rsidRPr="001451C7">
        <w:t xml:space="preserve"> </w:t>
      </w:r>
      <w:r>
        <w:t>öblítsük le.</w:t>
      </w:r>
    </w:p>
    <w:p w:rsidR="00C55628" w:rsidRPr="001451C7" w:rsidRDefault="00C55628" w:rsidP="005D6C4F">
      <w:pPr>
        <w:pStyle w:val="BodyTextIndent"/>
        <w:spacing w:before="20"/>
        <w:ind w:left="0"/>
      </w:pPr>
      <w:r w:rsidRPr="001451C7">
        <w:rPr>
          <w:b/>
          <w:bCs/>
        </w:rPr>
        <w:t>Szembe kerülése esetén:</w:t>
      </w:r>
      <w:r w:rsidRPr="001451C7">
        <w:t xml:space="preserve"> </w:t>
      </w:r>
      <w:r>
        <w:t xml:space="preserve">alapos, legalább 5 – 10 percig tartó </w:t>
      </w:r>
      <w:r w:rsidRPr="001451C7">
        <w:t xml:space="preserve">szemöblítést kell végezni folyóvízzel a szemhéjszélek széthúzása és a szemgolyó állandó mozgatása közben. </w:t>
      </w:r>
      <w:r>
        <w:t xml:space="preserve">Panasz, tünet állandósulása esetén </w:t>
      </w:r>
      <w:r w:rsidRPr="001451C7">
        <w:t>szakorvos</w:t>
      </w:r>
      <w:r>
        <w:t xml:space="preserve"> segítségét kell kérni</w:t>
      </w:r>
      <w:r w:rsidRPr="001451C7">
        <w:rPr>
          <w:lang w:val="en-US"/>
        </w:rPr>
        <w:t>!</w:t>
      </w:r>
    </w:p>
    <w:p w:rsidR="00C55628" w:rsidRDefault="00C55628" w:rsidP="005D6C4F">
      <w:pPr>
        <w:pStyle w:val="BodyTextIndent"/>
        <w:spacing w:before="40"/>
        <w:ind w:left="0"/>
        <w:rPr>
          <w:b/>
          <w:bCs/>
        </w:rPr>
      </w:pPr>
      <w:r w:rsidRPr="001451C7">
        <w:rPr>
          <w:b/>
          <w:bCs/>
        </w:rPr>
        <w:t>Lenyelés esetén</w:t>
      </w:r>
      <w:r w:rsidRPr="001451C7">
        <w:t xml:space="preserve">: </w:t>
      </w:r>
      <w:r>
        <w:t xml:space="preserve">a </w:t>
      </w:r>
      <w:r w:rsidRPr="001451C7">
        <w:t>szájat</w:t>
      </w:r>
      <w:r>
        <w:t xml:space="preserve"> azonnal </w:t>
      </w:r>
      <w:r w:rsidRPr="001451C7">
        <w:t>öblítsük vízzel</w:t>
      </w:r>
      <w:r>
        <w:t xml:space="preserve">, majd igyunk vizet. Nagy mennyiségek lenyelése esetén </w:t>
      </w:r>
      <w:r w:rsidRPr="001451C7">
        <w:t>forduljunk orvoshoz</w:t>
      </w:r>
      <w:r>
        <w:t>, mutassuk meg a címkét és vagy a biztonsági adatlapot.</w:t>
      </w:r>
    </w:p>
    <w:p w:rsidR="00C55628" w:rsidRPr="001C77FE" w:rsidRDefault="00C55628" w:rsidP="005D6C4F">
      <w:pPr>
        <w:pStyle w:val="BodyTextIndent"/>
        <w:spacing w:before="40"/>
        <w:ind w:left="0"/>
      </w:pPr>
      <w:r w:rsidRPr="005840A9">
        <w:rPr>
          <w:b/>
          <w:bCs/>
        </w:rPr>
        <w:t>4.2. A legfontosabb – akut és késleltetett – tünetek és hatások:</w:t>
      </w:r>
      <w:r w:rsidRPr="001C77FE">
        <w:t xml:space="preserve"> </w:t>
      </w:r>
      <w:r>
        <w:t xml:space="preserve">szembejutva </w:t>
      </w:r>
      <w:r w:rsidRPr="001C77FE">
        <w:t>irritálhat</w:t>
      </w:r>
      <w:r>
        <w:t>, szemkárosodást okozhat hosszas és tartós érintkezés esetén.</w:t>
      </w:r>
      <w:r w:rsidRPr="001C77FE">
        <w:t xml:space="preserve"> </w:t>
      </w:r>
    </w:p>
    <w:p w:rsidR="00C55628" w:rsidRPr="00430026" w:rsidRDefault="00C55628" w:rsidP="005D6C4F">
      <w:pPr>
        <w:pStyle w:val="BodyTextIndent"/>
        <w:spacing w:before="40"/>
        <w:ind w:left="0"/>
      </w:pPr>
      <w:r w:rsidRPr="005840A9">
        <w:rPr>
          <w:b/>
          <w:bCs/>
        </w:rPr>
        <w:t xml:space="preserve">4.3. A szükséges azonnali orvosi ellátás és különleges ellátás jelzése: </w:t>
      </w:r>
      <w:r>
        <w:t>ha</w:t>
      </w:r>
      <w:r w:rsidRPr="005840A9">
        <w:t xml:space="preserve"> tünetek jelentkeznek, vagy mérgezés gyanúja merül fel, azonnal hívjunk orvost, és mutassuk meg a termék címkéjét, illetve biztonsági adatlapját.</w:t>
      </w:r>
      <w:r>
        <w:t xml:space="preserve"> </w:t>
      </w:r>
      <w:r>
        <w:rPr>
          <w:b/>
          <w:bCs/>
        </w:rPr>
        <w:t>M</w:t>
      </w:r>
      <w:r w:rsidRPr="00430026">
        <w:rPr>
          <w:b/>
          <w:bCs/>
        </w:rPr>
        <w:t>egjegyzés az orvos számára:</w:t>
      </w:r>
      <w:r w:rsidRPr="00430026">
        <w:t xml:space="preserve"> </w:t>
      </w:r>
      <w:r>
        <w:t>k</w:t>
      </w:r>
      <w:r w:rsidRPr="00430026">
        <w:t>ezeljen a tüneteknek megfelelően.</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5. szakasz: Tűzvédelmi intézkedések</w:t>
      </w:r>
    </w:p>
    <w:p w:rsidR="00C55628" w:rsidRPr="005717D0" w:rsidRDefault="00C55628" w:rsidP="005D6C4F">
      <w:pPr>
        <w:tabs>
          <w:tab w:val="left" w:pos="2400"/>
        </w:tabs>
        <w:jc w:val="both"/>
        <w:rPr>
          <w:rFonts w:ascii="Tahoma" w:hAnsi="Tahoma" w:cs="Tahoma"/>
          <w:snapToGrid w:val="0"/>
        </w:rPr>
      </w:pPr>
      <w:r w:rsidRPr="0014339B">
        <w:rPr>
          <w:rFonts w:ascii="Tahoma" w:hAnsi="Tahoma" w:cs="Tahoma"/>
          <w:b/>
          <w:bCs/>
          <w:snapToGrid w:val="0"/>
        </w:rPr>
        <w:t xml:space="preserve">5.1. Megfelelő oltóanyag: </w:t>
      </w:r>
      <w:r w:rsidRPr="005717D0">
        <w:rPr>
          <w:rFonts w:ascii="Tahoma" w:hAnsi="Tahoma" w:cs="Tahoma"/>
          <w:snapToGrid w:val="0"/>
        </w:rPr>
        <w:t>oltóhab, oltópor, szén-dioxid, vízpermet, homok. A környezetben égő anyagok alapján kell meghatározni.</w:t>
      </w:r>
    </w:p>
    <w:p w:rsidR="00C55628" w:rsidRPr="0014339B" w:rsidRDefault="00C55628" w:rsidP="005D6C4F">
      <w:pPr>
        <w:tabs>
          <w:tab w:val="left" w:pos="2400"/>
        </w:tabs>
        <w:ind w:firstLine="426"/>
        <w:jc w:val="both"/>
        <w:rPr>
          <w:rFonts w:ascii="Tahoma" w:hAnsi="Tahoma" w:cs="Tahoma"/>
          <w:snapToGrid w:val="0"/>
        </w:rPr>
      </w:pPr>
      <w:r w:rsidRPr="00710AEF">
        <w:rPr>
          <w:rFonts w:ascii="Tahoma" w:hAnsi="Tahoma" w:cs="Tahoma"/>
          <w:b/>
          <w:bCs/>
          <w:snapToGrid w:val="0"/>
        </w:rPr>
        <w:t>Alkalmatlan oltóanyag:</w:t>
      </w:r>
      <w:r>
        <w:rPr>
          <w:rFonts w:ascii="Tahoma" w:hAnsi="Tahoma" w:cs="Tahoma"/>
          <w:snapToGrid w:val="0"/>
        </w:rPr>
        <w:t xml:space="preserve"> erős vízsugár.</w:t>
      </w:r>
    </w:p>
    <w:p w:rsidR="00C55628" w:rsidRDefault="00C55628" w:rsidP="005D6C4F">
      <w:pPr>
        <w:spacing w:before="40"/>
        <w:jc w:val="both"/>
        <w:rPr>
          <w:rFonts w:ascii="Tahoma" w:hAnsi="Tahoma" w:cs="Tahoma"/>
          <w:snapToGrid w:val="0"/>
          <w:spacing w:val="-2"/>
        </w:rPr>
      </w:pPr>
      <w:r w:rsidRPr="0014339B">
        <w:rPr>
          <w:rFonts w:ascii="Tahoma" w:hAnsi="Tahoma" w:cs="Tahoma"/>
          <w:b/>
          <w:bCs/>
          <w:snapToGrid w:val="0"/>
        </w:rPr>
        <w:t>5.2. A keverékből származó különleges veszélyek</w:t>
      </w:r>
      <w:r w:rsidRPr="0014339B">
        <w:rPr>
          <w:rFonts w:ascii="Tahoma" w:hAnsi="Tahoma" w:cs="Tahoma"/>
          <w:snapToGrid w:val="0"/>
          <w:spacing w:val="-2"/>
        </w:rPr>
        <w:t xml:space="preserve">: </w:t>
      </w:r>
      <w:r>
        <w:rPr>
          <w:rFonts w:ascii="Tahoma" w:hAnsi="Tahoma" w:cs="Tahoma"/>
          <w:snapToGrid w:val="0"/>
          <w:spacing w:val="-2"/>
        </w:rPr>
        <w:t>nem ismert.</w:t>
      </w:r>
    </w:p>
    <w:p w:rsidR="00C55628" w:rsidRPr="0014339B" w:rsidRDefault="00C55628" w:rsidP="005D6C4F">
      <w:pPr>
        <w:spacing w:before="40"/>
        <w:jc w:val="both"/>
        <w:rPr>
          <w:rFonts w:ascii="Tahoma" w:hAnsi="Tahoma" w:cs="Tahoma"/>
          <w:snapToGrid w:val="0"/>
        </w:rPr>
      </w:pPr>
      <w:r w:rsidRPr="0014339B">
        <w:rPr>
          <w:rFonts w:ascii="Tahoma" w:hAnsi="Tahoma" w:cs="Tahoma"/>
          <w:b/>
          <w:bCs/>
          <w:snapToGrid w:val="0"/>
        </w:rPr>
        <w:t>5.3. Javaslat a tűzoltóknak:</w:t>
      </w:r>
      <w:r w:rsidRPr="0014339B">
        <w:rPr>
          <w:rFonts w:ascii="Tahoma" w:hAnsi="Tahoma" w:cs="Tahoma"/>
          <w:snapToGrid w:val="0"/>
        </w:rPr>
        <w:t xml:space="preserve"> a védőfelszereléseket a környezetben égő anyagok alapján kell meghatározni.</w:t>
      </w:r>
      <w:r>
        <w:rPr>
          <w:rFonts w:ascii="Tahoma" w:hAnsi="Tahoma" w:cs="Tahoma"/>
          <w:snapToGrid w:val="0"/>
        </w:rPr>
        <w:t xml:space="preserve"> Védőruha és a környezet levegőjétől független légzőkészülék javasolt.</w:t>
      </w:r>
      <w:r w:rsidRPr="00A254C1">
        <w:rPr>
          <w:rFonts w:ascii="Tahoma" w:hAnsi="Tahoma" w:cs="Tahoma"/>
          <w:snapToGrid w:val="0"/>
        </w:rPr>
        <w:t xml:space="preserve"> </w:t>
      </w:r>
    </w:p>
    <w:p w:rsidR="00C55628" w:rsidRPr="00A254C1" w:rsidRDefault="00C55628" w:rsidP="005D6C4F">
      <w:pPr>
        <w:spacing w:before="60"/>
        <w:jc w:val="both"/>
        <w:rPr>
          <w:rFonts w:ascii="Tahoma" w:hAnsi="Tahoma" w:cs="Tahoma"/>
          <w:snapToGrid w:val="0"/>
        </w:rPr>
      </w:pPr>
      <w:r w:rsidRPr="00A254C1">
        <w:rPr>
          <w:rFonts w:ascii="Tahoma" w:hAnsi="Tahoma" w:cs="Tahoma"/>
          <w:b/>
          <w:bCs/>
          <w:snapToGrid w:val="0"/>
        </w:rPr>
        <w:t>Egyéb információ:</w:t>
      </w:r>
      <w:r w:rsidRPr="00A254C1">
        <w:rPr>
          <w:rFonts w:ascii="Tahoma" w:hAnsi="Tahoma" w:cs="Tahoma"/>
          <w:snapToGrid w:val="0"/>
        </w:rPr>
        <w:t xml:space="preserve"> a termék nem tűzveszélyes</w:t>
      </w:r>
      <w:r>
        <w:rPr>
          <w:rFonts w:ascii="Tahoma" w:hAnsi="Tahoma" w:cs="Tahoma"/>
          <w:snapToGrid w:val="0"/>
        </w:rPr>
        <w:t xml:space="preserve">, nem robbanásveszélyes, nem öngyulladó. </w:t>
      </w:r>
    </w:p>
    <w:p w:rsidR="00C55628" w:rsidRDefault="00C55628"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6. szakasz: Intézkedések véletlenszerű expozíciónál</w:t>
      </w:r>
    </w:p>
    <w:p w:rsidR="00C55628" w:rsidRPr="00A37543" w:rsidRDefault="00C55628" w:rsidP="009C0503">
      <w:pPr>
        <w:jc w:val="both"/>
        <w:rPr>
          <w:rFonts w:ascii="Tahoma" w:hAnsi="Tahoma" w:cs="Tahoma"/>
          <w:snapToGrid w:val="0"/>
          <w:spacing w:val="-2"/>
        </w:rPr>
      </w:pPr>
      <w:r w:rsidRPr="0014339B">
        <w:rPr>
          <w:rFonts w:ascii="Tahoma" w:hAnsi="Tahoma" w:cs="Tahoma"/>
          <w:b/>
          <w:bCs/>
          <w:snapToGrid w:val="0"/>
        </w:rPr>
        <w:t>6.1. Személyi óvintézkedések, egyéni védőeszközök és vészhelyzeti eljárások</w:t>
      </w:r>
      <w:r>
        <w:rPr>
          <w:rFonts w:ascii="Tahoma" w:hAnsi="Tahoma" w:cs="Tahoma"/>
          <w:b/>
          <w:bCs/>
          <w:snapToGrid w:val="0"/>
        </w:rPr>
        <w:t xml:space="preserve">: </w:t>
      </w:r>
      <w:r w:rsidRPr="00A37543">
        <w:rPr>
          <w:rFonts w:ascii="Tahoma" w:hAnsi="Tahoma" w:cs="Tahoma"/>
          <w:snapToGrid w:val="0"/>
        </w:rPr>
        <w:t>ügyeljünk a csúszásveszélyre, ha a szembefröccsenés veszélye fennáll</w:t>
      </w:r>
      <w:r>
        <w:rPr>
          <w:rFonts w:ascii="Tahoma" w:hAnsi="Tahoma" w:cs="Tahoma"/>
          <w:snapToGrid w:val="0"/>
        </w:rPr>
        <w:t xml:space="preserve">, akkor </w:t>
      </w:r>
      <w:r w:rsidRPr="00A37543">
        <w:rPr>
          <w:rFonts w:ascii="Tahoma" w:hAnsi="Tahoma" w:cs="Tahoma"/>
          <w:snapToGrid w:val="0"/>
        </w:rPr>
        <w:t xml:space="preserve">védőszemüveg </w:t>
      </w:r>
      <w:r>
        <w:rPr>
          <w:rFonts w:ascii="Tahoma" w:hAnsi="Tahoma" w:cs="Tahoma"/>
          <w:snapToGrid w:val="0"/>
        </w:rPr>
        <w:t>használata szükséges.</w:t>
      </w:r>
    </w:p>
    <w:p w:rsidR="00C55628" w:rsidRPr="00CB1156" w:rsidRDefault="00C55628" w:rsidP="00B12268">
      <w:pPr>
        <w:spacing w:before="40"/>
        <w:jc w:val="both"/>
        <w:rPr>
          <w:rFonts w:ascii="Tahoma" w:hAnsi="Tahoma" w:cs="Tahoma"/>
        </w:rPr>
      </w:pPr>
      <w:r w:rsidRPr="00CB1156">
        <w:rPr>
          <w:rFonts w:ascii="Tahoma" w:hAnsi="Tahoma" w:cs="Tahoma"/>
          <w:b/>
          <w:bCs/>
        </w:rPr>
        <w:t xml:space="preserve">6.2. Környezetvédelmi óvintézkedések: </w:t>
      </w:r>
      <w:r w:rsidRPr="00CB1156">
        <w:rPr>
          <w:rFonts w:ascii="Tahoma" w:hAnsi="Tahoma" w:cs="Tahoma"/>
        </w:rPr>
        <w:t xml:space="preserve">a kiömlött anyag közcsatornába, élő vizekbe, talajba </w:t>
      </w:r>
      <w:r>
        <w:rPr>
          <w:rFonts w:ascii="Tahoma" w:hAnsi="Tahoma" w:cs="Tahoma"/>
        </w:rPr>
        <w:t>ne jusson</w:t>
      </w:r>
      <w:r w:rsidRPr="00CB1156">
        <w:rPr>
          <w:rFonts w:ascii="Tahoma" w:hAnsi="Tahoma" w:cs="Tahoma"/>
        </w:rPr>
        <w:t>! A hulladékkezelés, a megsemmisítés a helyi előírásoknak megfelelően történjen.</w:t>
      </w:r>
    </w:p>
    <w:p w:rsidR="00C55628" w:rsidRDefault="00C55628" w:rsidP="009C0503">
      <w:pPr>
        <w:keepNext/>
        <w:spacing w:before="40"/>
        <w:jc w:val="both"/>
        <w:rPr>
          <w:rFonts w:ascii="Tahoma" w:hAnsi="Tahoma" w:cs="Tahoma"/>
          <w:b/>
          <w:bCs/>
          <w:snapToGrid w:val="0"/>
        </w:rPr>
      </w:pPr>
      <w:r>
        <w:rPr>
          <w:rFonts w:ascii="Tahoma" w:hAnsi="Tahoma" w:cs="Tahoma"/>
          <w:b/>
          <w:bCs/>
          <w:snapToGrid w:val="0"/>
        </w:rPr>
        <w:t>6.3. A területi elhatárolás és a szennyezés mentesítés módszerei és anyagai</w:t>
      </w:r>
    </w:p>
    <w:p w:rsidR="00C55628" w:rsidRDefault="00C55628" w:rsidP="009C0503">
      <w:pPr>
        <w:jc w:val="both"/>
        <w:rPr>
          <w:rFonts w:ascii="Tahoma" w:hAnsi="Tahoma" w:cs="Tahoma"/>
          <w:snapToGrid w:val="0"/>
        </w:rPr>
      </w:pPr>
      <w:r>
        <w:rPr>
          <w:rFonts w:ascii="Tahoma" w:hAnsi="Tahoma" w:cs="Tahoma"/>
          <w:snapToGrid w:val="0"/>
        </w:rPr>
        <w:t xml:space="preserve">Nagy mennyiségű kiömlött készítményt inert folyadékfelszívó anyaggal (pl. homok, föld, diatomaföld) kell felitatni, összegyűjteni, </w:t>
      </w:r>
      <w:r>
        <w:rPr>
          <w:rFonts w:ascii="Tahoma" w:hAnsi="Tahoma" w:cs="Tahoma"/>
        </w:rPr>
        <w:t>megfelelően címkézve tárolni és</w:t>
      </w:r>
      <w:r>
        <w:rPr>
          <w:rFonts w:ascii="Tahoma" w:hAnsi="Tahoma" w:cs="Tahoma"/>
          <w:snapToGrid w:val="0"/>
        </w:rPr>
        <w:t xml:space="preserve"> a helyi előírásoknak megfelelően megsemmisíteni. Kis mennyiségű terméket sok vízzel le kell öblíteni.</w:t>
      </w:r>
    </w:p>
    <w:p w:rsidR="00C55628" w:rsidRPr="0014339B" w:rsidRDefault="00C55628" w:rsidP="009C0503">
      <w:pPr>
        <w:spacing w:before="60"/>
        <w:jc w:val="both"/>
        <w:rPr>
          <w:rFonts w:ascii="Tahoma" w:hAnsi="Tahoma" w:cs="Tahoma"/>
          <w:snapToGrid w:val="0"/>
        </w:rPr>
      </w:pPr>
      <w:r w:rsidRPr="0014339B">
        <w:rPr>
          <w:rFonts w:ascii="Tahoma" w:hAnsi="Tahoma" w:cs="Tahoma"/>
          <w:b/>
          <w:bCs/>
          <w:snapToGrid w:val="0"/>
        </w:rPr>
        <w:t xml:space="preserve">6.4. Hivatkozás más szakaszokra: </w:t>
      </w:r>
      <w:r w:rsidRPr="0014339B">
        <w:rPr>
          <w:rFonts w:ascii="Tahoma" w:hAnsi="Tahoma" w:cs="Tahoma"/>
          <w:snapToGrid w:val="0"/>
        </w:rPr>
        <w:t>lásd még a 7., 8. és 13. szakaszokat.</w:t>
      </w:r>
      <w:r>
        <w:rPr>
          <w:rFonts w:ascii="Tahoma" w:hAnsi="Tahoma" w:cs="Tahoma"/>
          <w:snapToGrid w:val="0"/>
        </w:rPr>
        <w:t xml:space="preserve"> </w:t>
      </w:r>
    </w:p>
    <w:p w:rsidR="00C55628" w:rsidRDefault="00C55628"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7. szakasz: Kezelés és tárolás</w:t>
      </w:r>
    </w:p>
    <w:p w:rsidR="00C55628" w:rsidRPr="000E1DD2" w:rsidRDefault="00C55628" w:rsidP="005D6C4F">
      <w:pPr>
        <w:pStyle w:val="BodyTextIndent"/>
        <w:keepNext/>
        <w:ind w:left="0"/>
      </w:pPr>
      <w:r w:rsidRPr="0014339B">
        <w:rPr>
          <w:b/>
          <w:bCs/>
        </w:rPr>
        <w:t>7.1. A biztonságos kezelésre irányuló óvintézkedések</w:t>
      </w:r>
      <w:r>
        <w:rPr>
          <w:b/>
          <w:bCs/>
        </w:rPr>
        <w:t xml:space="preserve">: </w:t>
      </w:r>
      <w:r>
        <w:t>k</w:t>
      </w:r>
      <w:r w:rsidRPr="0014339B">
        <w:t>övessük a címkén található használati utasítást</w:t>
      </w:r>
      <w:r>
        <w:t>! Ne keverjük más készítményekkel! Kerüljük el a termék szembejutását.</w:t>
      </w:r>
    </w:p>
    <w:p w:rsidR="00C55628" w:rsidRPr="00293D58" w:rsidRDefault="00C55628" w:rsidP="005D6C4F">
      <w:pPr>
        <w:pStyle w:val="BodyTextIndent"/>
        <w:ind w:left="0"/>
      </w:pPr>
      <w:r w:rsidRPr="008D5244">
        <w:rPr>
          <w:b/>
          <w:bCs/>
        </w:rPr>
        <w:t>Tűz- és robbanásvédelem:</w:t>
      </w:r>
      <w:r w:rsidRPr="008D5244">
        <w:t xml:space="preserve"> speciális intézkedés nem szükséges.</w:t>
      </w:r>
    </w:p>
    <w:p w:rsidR="00C55628" w:rsidRPr="0014339B" w:rsidRDefault="00C55628" w:rsidP="005D6C4F">
      <w:pPr>
        <w:pStyle w:val="BodyTextIndent"/>
        <w:ind w:left="0"/>
        <w:rPr>
          <w:b/>
          <w:bCs/>
        </w:rPr>
      </w:pPr>
      <w:r w:rsidRPr="0014339B">
        <w:rPr>
          <w:b/>
          <w:bCs/>
        </w:rPr>
        <w:t>7.2. A biztonságos tárolás feltételei, az esetleges összeférhetetlenséggel együtt</w:t>
      </w:r>
    </w:p>
    <w:p w:rsidR="00C55628" w:rsidRPr="000E1DD2" w:rsidRDefault="00C55628" w:rsidP="005D6C4F">
      <w:pPr>
        <w:jc w:val="both"/>
        <w:rPr>
          <w:rFonts w:ascii="Tahoma" w:hAnsi="Tahoma" w:cs="Tahoma"/>
        </w:rPr>
      </w:pPr>
      <w:r w:rsidRPr="000E1DD2">
        <w:rPr>
          <w:rFonts w:ascii="Tahoma" w:hAnsi="Tahoma" w:cs="Tahoma"/>
        </w:rPr>
        <w:t>Gyermekek kezébe nem kerülhet</w:t>
      </w:r>
      <w:r>
        <w:rPr>
          <w:rFonts w:ascii="Tahoma" w:hAnsi="Tahoma" w:cs="Tahoma"/>
        </w:rPr>
        <w:t>! Ajánlott tárolási hőmérséklet: +5°C felett.</w:t>
      </w:r>
    </w:p>
    <w:p w:rsidR="00C55628" w:rsidRDefault="00C55628" w:rsidP="005D6C4F">
      <w:pPr>
        <w:spacing w:before="60"/>
        <w:jc w:val="both"/>
        <w:rPr>
          <w:rFonts w:ascii="Tahoma" w:hAnsi="Tahoma" w:cs="Tahoma"/>
        </w:rPr>
      </w:pPr>
      <w:r w:rsidRPr="0014339B">
        <w:rPr>
          <w:rFonts w:ascii="Tahoma" w:hAnsi="Tahoma" w:cs="Tahoma"/>
          <w:b/>
          <w:bCs/>
        </w:rPr>
        <w:t>7.3. Meghatározott végfelhasználás</w:t>
      </w:r>
      <w:r>
        <w:rPr>
          <w:rFonts w:ascii="Tahoma" w:hAnsi="Tahoma" w:cs="Tahoma"/>
          <w:b/>
          <w:bCs/>
        </w:rPr>
        <w:t>:</w:t>
      </w:r>
      <w:r>
        <w:rPr>
          <w:rFonts w:ascii="Tahoma" w:hAnsi="Tahoma" w:cs="Tahoma"/>
          <w:snapToGrid w:val="0"/>
        </w:rPr>
        <w:t xml:space="preserve"> savas tisztítószer</w:t>
      </w:r>
    </w:p>
    <w:p w:rsidR="00C55628" w:rsidRPr="0014339B" w:rsidRDefault="00C55628" w:rsidP="00A2200F">
      <w:pPr>
        <w:jc w:val="both"/>
        <w:rPr>
          <w:rFonts w:ascii="Tahoma" w:hAnsi="Tahoma" w:cs="Tahoma"/>
        </w:rPr>
      </w:pPr>
      <w:r w:rsidRPr="0014339B">
        <w:rPr>
          <w:rFonts w:ascii="Tahoma" w:hAnsi="Tahoma" w:cs="Tahoma"/>
        </w:rPr>
        <w:t>A felhasználók mindig olvassák el a használati útmutatót, és tartsák be a biztonságos kezelésre és felhasználásra vonatkozó utasításokat.</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8. szakasz: Az expozíció ellenőrzése/egyéni védelem</w:t>
      </w:r>
    </w:p>
    <w:p w:rsidR="00C55628" w:rsidRDefault="00C55628" w:rsidP="00845210">
      <w:pPr>
        <w:pStyle w:val="BodyTextIndent"/>
        <w:ind w:left="0"/>
        <w:rPr>
          <w:b/>
          <w:bCs/>
        </w:rPr>
      </w:pPr>
      <w:r w:rsidRPr="00755B18">
        <w:rPr>
          <w:b/>
          <w:bCs/>
        </w:rPr>
        <w:t>8.1. Ellenőrzési paraméterek</w:t>
      </w:r>
    </w:p>
    <w:p w:rsidR="00C55628" w:rsidRDefault="00C55628" w:rsidP="00A2200F">
      <w:pPr>
        <w:pStyle w:val="BodyTextIndent"/>
        <w:spacing w:before="0"/>
        <w:ind w:left="0"/>
        <w:rPr>
          <w:sz w:val="18"/>
          <w:szCs w:val="18"/>
        </w:rPr>
      </w:pPr>
      <w:r w:rsidRPr="00755B18">
        <w:rPr>
          <w:b/>
          <w:bCs/>
        </w:rPr>
        <w:t>Foglalkozási expozíciós határérték</w:t>
      </w:r>
      <w:r>
        <w:t>/</w:t>
      </w:r>
      <w:r w:rsidRPr="008C1891">
        <w:rPr>
          <w:b/>
          <w:bCs/>
        </w:rPr>
        <w:t>levegőben megengedett koncentráció:</w:t>
      </w:r>
      <w:r>
        <w:t xml:space="preserve"> nem tartalmaz olyan összetevőt melyre vonatkozólag határérték megállapítás történt.</w:t>
      </w:r>
    </w:p>
    <w:p w:rsidR="00C55628" w:rsidRPr="00845210" w:rsidRDefault="00C55628" w:rsidP="00DB503D">
      <w:pPr>
        <w:pStyle w:val="Default"/>
        <w:spacing w:before="60"/>
        <w:rPr>
          <w:rFonts w:ascii="Tahoma" w:hAnsi="Tahoma" w:cs="Tahoma"/>
          <w:color w:val="auto"/>
          <w:sz w:val="20"/>
          <w:szCs w:val="20"/>
        </w:rPr>
      </w:pPr>
      <w:r w:rsidRPr="00845210">
        <w:rPr>
          <w:rFonts w:ascii="Tahoma" w:hAnsi="Tahoma" w:cs="Tahoma"/>
          <w:color w:val="auto"/>
          <w:sz w:val="20"/>
          <w:szCs w:val="20"/>
        </w:rPr>
        <w:t>Citromsavra vonatkozó DNEL</w:t>
      </w:r>
      <w:r w:rsidRPr="00B26C47">
        <w:rPr>
          <w:rFonts w:ascii="Tahoma" w:hAnsi="Tahoma" w:cs="Tahoma"/>
          <w:color w:val="auto"/>
          <w:sz w:val="20"/>
          <w:szCs w:val="20"/>
          <w:vertAlign w:val="superscript"/>
        </w:rPr>
        <w:footnoteReference w:id="3"/>
      </w:r>
      <w:r w:rsidRPr="00845210">
        <w:rPr>
          <w:rFonts w:ascii="Tahoma" w:hAnsi="Tahoma" w:cs="Tahoma"/>
          <w:color w:val="auto"/>
          <w:sz w:val="20"/>
          <w:szCs w:val="20"/>
        </w:rPr>
        <w:t xml:space="preserve"> érték: nincs adat</w:t>
      </w:r>
      <w:r>
        <w:rPr>
          <w:rFonts w:ascii="Tahoma" w:hAnsi="Tahoma" w:cs="Tahoma"/>
          <w:color w:val="auto"/>
          <w:sz w:val="20"/>
          <w:szCs w:val="20"/>
        </w:rPr>
        <w:t xml:space="preserve">, nem származtatható. </w:t>
      </w:r>
    </w:p>
    <w:p w:rsidR="00C55628" w:rsidRPr="00845210" w:rsidRDefault="00C55628" w:rsidP="00DB503D">
      <w:pPr>
        <w:pStyle w:val="Default"/>
        <w:spacing w:before="60"/>
        <w:rPr>
          <w:rFonts w:ascii="Tahoma" w:hAnsi="Tahoma" w:cs="Tahoma"/>
          <w:color w:val="auto"/>
          <w:sz w:val="20"/>
          <w:szCs w:val="20"/>
        </w:rPr>
      </w:pPr>
      <w:r w:rsidRPr="00845210">
        <w:rPr>
          <w:rFonts w:ascii="Tahoma" w:hAnsi="Tahoma" w:cs="Tahoma"/>
          <w:color w:val="auto"/>
          <w:sz w:val="20"/>
          <w:szCs w:val="20"/>
        </w:rPr>
        <w:t>Citromsav PNEC</w:t>
      </w:r>
      <w:r w:rsidRPr="00845210">
        <w:rPr>
          <w:rFonts w:ascii="Tahoma" w:hAnsi="Tahoma" w:cs="Tahoma"/>
          <w:color w:val="auto"/>
          <w:sz w:val="20"/>
          <w:szCs w:val="20"/>
          <w:vertAlign w:val="superscript"/>
        </w:rPr>
        <w:footnoteReference w:id="4"/>
      </w:r>
      <w:r w:rsidRPr="00845210">
        <w:rPr>
          <w:rFonts w:ascii="Tahoma" w:hAnsi="Tahoma" w:cs="Tahoma"/>
          <w:color w:val="auto"/>
          <w:sz w:val="20"/>
          <w:szCs w:val="20"/>
          <w:vertAlign w:val="superscript"/>
        </w:rPr>
        <w:t xml:space="preserve"> </w:t>
      </w:r>
      <w:r w:rsidRPr="00845210">
        <w:rPr>
          <w:rFonts w:ascii="Tahoma" w:hAnsi="Tahoma" w:cs="Tahoma"/>
          <w:color w:val="auto"/>
          <w:sz w:val="20"/>
          <w:szCs w:val="20"/>
        </w:rPr>
        <w:t>értékei: PNEC (édesvíz): 0,44 mg/l, PNEC (tengervíz): 0,044 mg/l</w:t>
      </w:r>
      <w:r>
        <w:rPr>
          <w:rFonts w:ascii="Tahoma" w:hAnsi="Tahoma" w:cs="Tahoma"/>
          <w:color w:val="auto"/>
          <w:sz w:val="20"/>
          <w:szCs w:val="20"/>
        </w:rPr>
        <w:t>;</w:t>
      </w:r>
    </w:p>
    <w:p w:rsidR="00C55628" w:rsidRPr="00845210" w:rsidRDefault="00C55628" w:rsidP="00845210">
      <w:pPr>
        <w:pStyle w:val="Default"/>
        <w:rPr>
          <w:rFonts w:ascii="Tahoma" w:hAnsi="Tahoma" w:cs="Tahoma"/>
          <w:color w:val="auto"/>
          <w:sz w:val="20"/>
          <w:szCs w:val="20"/>
        </w:rPr>
      </w:pPr>
      <w:r w:rsidRPr="00845210">
        <w:rPr>
          <w:rFonts w:ascii="Tahoma" w:hAnsi="Tahoma" w:cs="Tahoma"/>
          <w:color w:val="auto"/>
          <w:sz w:val="20"/>
          <w:szCs w:val="20"/>
        </w:rPr>
        <w:t>PNEC (édesvízi</w:t>
      </w:r>
      <w:r w:rsidRPr="00DB503D">
        <w:rPr>
          <w:rFonts w:ascii="Tahoma" w:hAnsi="Tahoma" w:cs="Tahoma"/>
          <w:color w:val="auto"/>
          <w:sz w:val="20"/>
          <w:szCs w:val="20"/>
        </w:rPr>
        <w:t xml:space="preserve"> </w:t>
      </w:r>
      <w:r w:rsidRPr="00845210">
        <w:rPr>
          <w:rFonts w:ascii="Tahoma" w:hAnsi="Tahoma" w:cs="Tahoma"/>
          <w:color w:val="auto"/>
          <w:sz w:val="20"/>
          <w:szCs w:val="20"/>
        </w:rPr>
        <w:t>üledék): 3,46 mg/l; PNEC (talaj): 33,1 mg/kg; PNEC (STP): &gt; 1000 mg/kg</w:t>
      </w:r>
    </w:p>
    <w:p w:rsidR="00C55628" w:rsidRDefault="00C55628" w:rsidP="00DB503D">
      <w:pPr>
        <w:pStyle w:val="BodyTextIndent"/>
        <w:spacing w:before="0" w:after="60"/>
        <w:ind w:left="0"/>
      </w:pPr>
      <w:r w:rsidRPr="00845210">
        <w:t>PNEC (</w:t>
      </w:r>
      <w:r>
        <w:t>tengeri</w:t>
      </w:r>
      <w:r w:rsidRPr="00DB503D">
        <w:t xml:space="preserve"> </w:t>
      </w:r>
      <w:r w:rsidRPr="00845210">
        <w:t>üledék): 3</w:t>
      </w:r>
      <w:r>
        <w:t>4</w:t>
      </w:r>
      <w:r w:rsidRPr="00845210">
        <w:t>,6 mg/l</w:t>
      </w:r>
    </w:p>
    <w:p w:rsidR="00C55628" w:rsidRDefault="00C55628" w:rsidP="00182C62">
      <w:pPr>
        <w:pStyle w:val="BodyTextIndent"/>
        <w:spacing w:before="0"/>
        <w:ind w:left="0"/>
        <w:rPr>
          <w:b/>
          <w:bCs/>
        </w:rPr>
      </w:pPr>
      <w:r>
        <w:rPr>
          <w:b/>
          <w:bCs/>
        </w:rPr>
        <w:t>8.2. Az expozíció ellenőrzése</w:t>
      </w:r>
    </w:p>
    <w:p w:rsidR="00C55628" w:rsidRPr="00C46CAC" w:rsidRDefault="00C55628" w:rsidP="009B2A63">
      <w:pPr>
        <w:pStyle w:val="BodyTextIndent"/>
        <w:spacing w:before="0"/>
        <w:ind w:left="0"/>
      </w:pPr>
      <w:r>
        <w:t xml:space="preserve">A termék használata során be kell tartani a vegyi anyagokkal folytatott tevékenységek általános biztonsági és higiénés előírásait. </w:t>
      </w:r>
      <w:r w:rsidRPr="00C46CAC">
        <w:t>Körültekintő munkával, használattal kerüljük el a termék szembejutását!</w:t>
      </w:r>
    </w:p>
    <w:p w:rsidR="00C55628" w:rsidRDefault="00C55628" w:rsidP="00A2200F">
      <w:pPr>
        <w:pStyle w:val="BodyTextIndent"/>
        <w:spacing w:before="40"/>
        <w:ind w:left="0"/>
      </w:pPr>
      <w:r>
        <w:rPr>
          <w:b/>
          <w:bCs/>
        </w:rPr>
        <w:t xml:space="preserve">Műszaki intézkedés: </w:t>
      </w:r>
      <w:r>
        <w:t>nem szükséges.</w:t>
      </w:r>
    </w:p>
    <w:p w:rsidR="00C55628" w:rsidRDefault="00C55628" w:rsidP="00A2200F">
      <w:pPr>
        <w:pStyle w:val="BodyTextIndent"/>
        <w:spacing w:before="40"/>
        <w:ind w:left="0"/>
      </w:pPr>
      <w:r>
        <w:rPr>
          <w:b/>
          <w:bCs/>
        </w:rPr>
        <w:t xml:space="preserve">Higiéniai intézkedések: </w:t>
      </w:r>
      <w:r>
        <w:t>tartsuk távol élelmiszerektől, italoktól és takarmányoktól.</w:t>
      </w:r>
    </w:p>
    <w:p w:rsidR="00C55628" w:rsidRDefault="00C55628" w:rsidP="00A2200F">
      <w:pPr>
        <w:pStyle w:val="BodyTextIndent"/>
        <w:spacing w:before="40"/>
        <w:ind w:left="0"/>
        <w:rPr>
          <w:b/>
          <w:bCs/>
        </w:rPr>
      </w:pPr>
      <w:r w:rsidRPr="00CA2702">
        <w:rPr>
          <w:b/>
          <w:bCs/>
        </w:rPr>
        <w:t>Személyi védőfelszerelések</w:t>
      </w:r>
      <w:r>
        <w:rPr>
          <w:b/>
          <w:bCs/>
        </w:rPr>
        <w:t>:</w:t>
      </w:r>
    </w:p>
    <w:p w:rsidR="00C55628" w:rsidRDefault="00C55628" w:rsidP="00B12268">
      <w:pPr>
        <w:pStyle w:val="BodyTextIndent"/>
        <w:numPr>
          <w:ilvl w:val="0"/>
          <w:numId w:val="38"/>
        </w:numPr>
        <w:tabs>
          <w:tab w:val="clear" w:pos="1701"/>
        </w:tabs>
        <w:spacing w:before="0"/>
        <w:ind w:left="709" w:hanging="283"/>
      </w:pPr>
      <w:r w:rsidRPr="00874D02">
        <w:rPr>
          <w:b/>
          <w:bCs/>
        </w:rPr>
        <w:t>Légutak védelme:</w:t>
      </w:r>
      <w:r w:rsidRPr="00874D02">
        <w:t xml:space="preserve"> nem szükséges</w:t>
      </w:r>
      <w:r>
        <w:t>.</w:t>
      </w:r>
    </w:p>
    <w:p w:rsidR="00C55628" w:rsidRPr="00CA2702" w:rsidRDefault="00C55628" w:rsidP="00B12268">
      <w:pPr>
        <w:pStyle w:val="BodyTextIndent"/>
        <w:numPr>
          <w:ilvl w:val="0"/>
          <w:numId w:val="38"/>
        </w:numPr>
        <w:tabs>
          <w:tab w:val="clear" w:pos="1701"/>
        </w:tabs>
        <w:spacing w:before="40"/>
        <w:ind w:hanging="283"/>
        <w:rPr>
          <w:b/>
          <w:bCs/>
        </w:rPr>
      </w:pPr>
      <w:r w:rsidRPr="00CA2702">
        <w:rPr>
          <w:b/>
          <w:bCs/>
        </w:rPr>
        <w:t>Kézvédelem:</w:t>
      </w:r>
      <w:r w:rsidRPr="00CA2702">
        <w:t xml:space="preserve"> érzékeny bőrű személyeknek</w:t>
      </w:r>
      <w:r>
        <w:t xml:space="preserve"> védőkesztyű használata ajánlott.</w:t>
      </w:r>
    </w:p>
    <w:p w:rsidR="00C55628" w:rsidRPr="00B12268" w:rsidRDefault="00C55628" w:rsidP="00B12268">
      <w:pPr>
        <w:pStyle w:val="BodyTextIndent"/>
        <w:numPr>
          <w:ilvl w:val="0"/>
          <w:numId w:val="38"/>
        </w:numPr>
        <w:tabs>
          <w:tab w:val="left" w:pos="709"/>
        </w:tabs>
        <w:spacing w:before="40"/>
        <w:ind w:left="709" w:hanging="283"/>
        <w:rPr>
          <w:b/>
          <w:bCs/>
        </w:rPr>
      </w:pPr>
      <w:r w:rsidRPr="00B12268">
        <w:rPr>
          <w:b/>
          <w:bCs/>
        </w:rPr>
        <w:t>Szemvédelem:</w:t>
      </w:r>
      <w:r w:rsidRPr="00CA2702">
        <w:t xml:space="preserve"> nem szükséges. </w:t>
      </w:r>
      <w:r>
        <w:t>N</w:t>
      </w:r>
      <w:r w:rsidRPr="00B12268">
        <w:t>agy mennyiségek kezelése esetén, mentesítéskor védőszemüveg/védőálarc használata ajánlott.</w:t>
      </w:r>
    </w:p>
    <w:p w:rsidR="00C55628" w:rsidRDefault="00C55628"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9. szakasz: Fizikai és kémiai tulajdonságok</w:t>
      </w:r>
    </w:p>
    <w:p w:rsidR="00C55628" w:rsidRDefault="00C55628" w:rsidP="005D6C4F">
      <w:pPr>
        <w:tabs>
          <w:tab w:val="left" w:pos="1985"/>
        </w:tabs>
        <w:rPr>
          <w:rFonts w:ascii="Tahoma" w:hAnsi="Tahoma" w:cs="Tahoma"/>
          <w:b/>
          <w:bCs/>
          <w:snapToGrid w:val="0"/>
        </w:rPr>
      </w:pPr>
      <w:r>
        <w:rPr>
          <w:rFonts w:ascii="Tahoma" w:hAnsi="Tahoma" w:cs="Tahoma"/>
          <w:b/>
          <w:bCs/>
          <w:snapToGrid w:val="0"/>
        </w:rPr>
        <w:t>9.1. Az alapvető fizikai és kémiai tulajdonságokra vonatkozó információk</w:t>
      </w:r>
    </w:p>
    <w:p w:rsidR="00C55628" w:rsidRDefault="00C55628" w:rsidP="005D6C4F">
      <w:pPr>
        <w:tabs>
          <w:tab w:val="left" w:pos="2552"/>
        </w:tabs>
        <w:ind w:left="284" w:firstLine="142"/>
        <w:jc w:val="both"/>
        <w:rPr>
          <w:rFonts w:ascii="Tahoma" w:hAnsi="Tahoma" w:cs="Tahoma"/>
          <w:snapToGrid w:val="0"/>
        </w:rPr>
      </w:pPr>
      <w:r w:rsidRPr="00DE2E56">
        <w:rPr>
          <w:rFonts w:ascii="Tahoma" w:hAnsi="Tahoma" w:cs="Tahoma"/>
          <w:snapToGrid w:val="0"/>
        </w:rPr>
        <w:t>Halmazállapot:</w:t>
      </w:r>
      <w:r w:rsidRPr="00DE2E56">
        <w:rPr>
          <w:rFonts w:ascii="Tahoma" w:hAnsi="Tahoma" w:cs="Tahoma"/>
          <w:snapToGrid w:val="0"/>
        </w:rPr>
        <w:tab/>
      </w:r>
      <w:r>
        <w:rPr>
          <w:rFonts w:ascii="Tahoma" w:hAnsi="Tahoma" w:cs="Tahoma"/>
          <w:snapToGrid w:val="0"/>
        </w:rPr>
        <w:t>folyékony</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Megjelenési forma:</w:t>
      </w:r>
      <w:r>
        <w:rPr>
          <w:rFonts w:ascii="Tahoma" w:hAnsi="Tahoma" w:cs="Tahoma"/>
          <w:snapToGrid w:val="0"/>
        </w:rPr>
        <w:tab/>
        <w:t>folyadék</w:t>
      </w:r>
    </w:p>
    <w:p w:rsidR="00C55628" w:rsidRDefault="00C55628" w:rsidP="005D6C4F">
      <w:pPr>
        <w:tabs>
          <w:tab w:val="left" w:pos="2552"/>
        </w:tabs>
        <w:ind w:left="284" w:firstLine="142"/>
        <w:jc w:val="both"/>
        <w:rPr>
          <w:rFonts w:ascii="Tahoma" w:hAnsi="Tahoma" w:cs="Tahoma"/>
          <w:snapToGrid w:val="0"/>
        </w:rPr>
      </w:pPr>
      <w:r w:rsidRPr="00DE2E56">
        <w:rPr>
          <w:rFonts w:ascii="Tahoma" w:hAnsi="Tahoma" w:cs="Tahoma"/>
          <w:snapToGrid w:val="0"/>
        </w:rPr>
        <w:t>Szín:</w:t>
      </w:r>
      <w:r w:rsidRPr="00DE2E56">
        <w:rPr>
          <w:rFonts w:ascii="Tahoma" w:hAnsi="Tahoma" w:cs="Tahoma"/>
          <w:snapToGrid w:val="0"/>
        </w:rPr>
        <w:tab/>
      </w:r>
      <w:r>
        <w:rPr>
          <w:rFonts w:ascii="Tahoma" w:hAnsi="Tahoma" w:cs="Tahoma"/>
          <w:snapToGrid w:val="0"/>
        </w:rPr>
        <w:t>áttetsző</w:t>
      </w:r>
    </w:p>
    <w:p w:rsidR="00C55628" w:rsidRDefault="00C55628" w:rsidP="005D6C4F">
      <w:pPr>
        <w:tabs>
          <w:tab w:val="left" w:pos="2552"/>
        </w:tabs>
        <w:ind w:left="284" w:firstLine="142"/>
        <w:jc w:val="both"/>
        <w:rPr>
          <w:rFonts w:ascii="Tahoma" w:hAnsi="Tahoma" w:cs="Tahoma"/>
          <w:snapToGrid w:val="0"/>
        </w:rPr>
      </w:pPr>
      <w:r w:rsidRPr="00DE2E56">
        <w:rPr>
          <w:rFonts w:ascii="Tahoma" w:hAnsi="Tahoma" w:cs="Tahoma"/>
          <w:snapToGrid w:val="0"/>
        </w:rPr>
        <w:t>Szag:</w:t>
      </w:r>
      <w:r w:rsidRPr="00DE2E56">
        <w:rPr>
          <w:rFonts w:ascii="Tahoma" w:hAnsi="Tahoma" w:cs="Tahoma"/>
          <w:snapToGrid w:val="0"/>
        </w:rPr>
        <w:tab/>
      </w:r>
      <w:r>
        <w:rPr>
          <w:rFonts w:ascii="Tahoma" w:hAnsi="Tahoma" w:cs="Tahoma"/>
          <w:snapToGrid w:val="0"/>
        </w:rPr>
        <w:t xml:space="preserve">a termékre jellemző, kellemes </w:t>
      </w:r>
    </w:p>
    <w:p w:rsidR="00C55628" w:rsidRPr="00DE2E56" w:rsidRDefault="00C55628" w:rsidP="005D6C4F">
      <w:pPr>
        <w:tabs>
          <w:tab w:val="left" w:pos="2552"/>
        </w:tabs>
        <w:ind w:left="284" w:firstLine="142"/>
        <w:jc w:val="both"/>
        <w:rPr>
          <w:rFonts w:ascii="Tahoma" w:hAnsi="Tahoma" w:cs="Tahoma"/>
          <w:snapToGrid w:val="0"/>
        </w:rPr>
      </w:pPr>
      <w:r>
        <w:rPr>
          <w:rFonts w:ascii="Tahoma" w:hAnsi="Tahoma" w:cs="Tahoma"/>
          <w:snapToGrid w:val="0"/>
        </w:rPr>
        <w:t>Szagküszöb:</w:t>
      </w:r>
      <w:r>
        <w:rPr>
          <w:rFonts w:ascii="Tahoma" w:hAnsi="Tahoma" w:cs="Tahoma"/>
          <w:snapToGrid w:val="0"/>
        </w:rPr>
        <w:tab/>
        <w:t>nincs meghatározva</w:t>
      </w:r>
    </w:p>
    <w:p w:rsidR="00C55628" w:rsidRDefault="00C55628" w:rsidP="005D6C4F">
      <w:pPr>
        <w:tabs>
          <w:tab w:val="left" w:pos="2552"/>
        </w:tabs>
        <w:ind w:left="284" w:firstLine="142"/>
        <w:jc w:val="both"/>
        <w:rPr>
          <w:rFonts w:ascii="Tahoma" w:hAnsi="Tahoma" w:cs="Tahoma"/>
          <w:snapToGrid w:val="0"/>
        </w:rPr>
      </w:pPr>
      <w:r w:rsidRPr="00675D5C">
        <w:rPr>
          <w:rFonts w:ascii="Tahoma" w:hAnsi="Tahoma" w:cs="Tahoma"/>
          <w:snapToGrid w:val="0"/>
        </w:rPr>
        <w:t>pH-érték</w:t>
      </w:r>
      <w:r>
        <w:rPr>
          <w:rFonts w:ascii="Tahoma" w:hAnsi="Tahoma" w:cs="Tahoma"/>
          <w:snapToGrid w:val="0"/>
        </w:rPr>
        <w:t xml:space="preserve"> 20°C-on</w:t>
      </w:r>
      <w:r w:rsidRPr="00675D5C">
        <w:rPr>
          <w:rFonts w:ascii="Tahoma" w:hAnsi="Tahoma" w:cs="Tahoma"/>
          <w:snapToGrid w:val="0"/>
        </w:rPr>
        <w:t>:</w:t>
      </w:r>
      <w:r w:rsidRPr="00675D5C">
        <w:rPr>
          <w:rFonts w:ascii="Tahoma" w:hAnsi="Tahoma" w:cs="Tahoma"/>
          <w:snapToGrid w:val="0"/>
        </w:rPr>
        <w:tab/>
      </w:r>
      <w:r>
        <w:rPr>
          <w:rFonts w:ascii="Tahoma" w:hAnsi="Tahoma" w:cs="Tahoma"/>
          <w:snapToGrid w:val="0"/>
        </w:rPr>
        <w:t xml:space="preserve">&lt;2 </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Relatív sűrűség:</w:t>
      </w:r>
      <w:r>
        <w:rPr>
          <w:rFonts w:ascii="Tahoma" w:hAnsi="Tahoma" w:cs="Tahoma"/>
          <w:snapToGrid w:val="0"/>
        </w:rPr>
        <w:tab/>
        <w:t>kb. 1,1</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Forrás/dermedéspont:</w:t>
      </w:r>
      <w:r>
        <w:rPr>
          <w:rFonts w:ascii="Tahoma" w:hAnsi="Tahoma" w:cs="Tahoma"/>
          <w:snapToGrid w:val="0"/>
        </w:rPr>
        <w:tab/>
        <w:t>nincs adat</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Lobbanáspont:</w:t>
      </w:r>
      <w:r>
        <w:rPr>
          <w:rFonts w:ascii="Tahoma" w:hAnsi="Tahoma" w:cs="Tahoma"/>
          <w:snapToGrid w:val="0"/>
        </w:rPr>
        <w:tab/>
        <w:t xml:space="preserve">nem jellemző, vizes oldat, kb. &gt;100°C becsült érték </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Bomlási hőmérséklet:</w:t>
      </w:r>
      <w:r>
        <w:rPr>
          <w:rFonts w:ascii="Tahoma" w:hAnsi="Tahoma" w:cs="Tahoma"/>
          <w:snapToGrid w:val="0"/>
        </w:rPr>
        <w:tab/>
        <w:t>nincs adat</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Öngyulladás:</w:t>
      </w:r>
      <w:r>
        <w:rPr>
          <w:rFonts w:ascii="Tahoma" w:hAnsi="Tahoma" w:cs="Tahoma"/>
          <w:snapToGrid w:val="0"/>
        </w:rPr>
        <w:tab/>
        <w:t>a termék nem öngyulladó</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Robbanásveszély:</w:t>
      </w:r>
      <w:r>
        <w:rPr>
          <w:rFonts w:ascii="Tahoma" w:hAnsi="Tahoma" w:cs="Tahoma"/>
          <w:snapToGrid w:val="0"/>
        </w:rPr>
        <w:tab/>
        <w:t>nem lép fel, nem robbanásveszélyes</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nincs adat</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Oxidáló tulajdonság:</w:t>
      </w:r>
      <w:r>
        <w:rPr>
          <w:rFonts w:ascii="Tahoma" w:hAnsi="Tahoma" w:cs="Tahoma"/>
          <w:snapToGrid w:val="0"/>
        </w:rPr>
        <w:tab/>
        <w:t>nem jellemző</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Gőznyomás:</w:t>
      </w:r>
      <w:r>
        <w:rPr>
          <w:rFonts w:ascii="Tahoma" w:hAnsi="Tahoma" w:cs="Tahoma"/>
          <w:snapToGrid w:val="0"/>
        </w:rPr>
        <w:tab/>
        <w:t>nincs adat</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Bepárlási sebesség:</w:t>
      </w:r>
      <w:r>
        <w:rPr>
          <w:rFonts w:ascii="Tahoma" w:hAnsi="Tahoma" w:cs="Tahoma"/>
          <w:snapToGrid w:val="0"/>
        </w:rPr>
        <w:tab/>
        <w:t>nem releváns</w:t>
      </w:r>
    </w:p>
    <w:p w:rsidR="00C55628" w:rsidRPr="00F31477" w:rsidRDefault="00C55628" w:rsidP="00845210">
      <w:pPr>
        <w:tabs>
          <w:tab w:val="left" w:pos="2552"/>
        </w:tabs>
        <w:ind w:firstLine="426"/>
        <w:jc w:val="both"/>
        <w:rPr>
          <w:rFonts w:ascii="Tahoma" w:hAnsi="Tahoma" w:cs="Tahoma"/>
          <w:snapToGrid w:val="0"/>
        </w:rPr>
      </w:pPr>
      <w:r w:rsidRPr="00F31477">
        <w:rPr>
          <w:rFonts w:ascii="Tahoma" w:hAnsi="Tahoma" w:cs="Tahoma"/>
          <w:snapToGrid w:val="0"/>
        </w:rPr>
        <w:t>Vízoldékonyság:</w:t>
      </w:r>
      <w:r w:rsidRPr="00F31477">
        <w:rPr>
          <w:rFonts w:ascii="Tahoma" w:hAnsi="Tahoma" w:cs="Tahoma"/>
          <w:snapToGrid w:val="0"/>
        </w:rPr>
        <w:tab/>
      </w:r>
      <w:r>
        <w:rPr>
          <w:rFonts w:ascii="Tahoma" w:hAnsi="Tahoma" w:cs="Tahoma"/>
          <w:snapToGrid w:val="0"/>
        </w:rPr>
        <w:t xml:space="preserve">elegyedik, citromsav oldékonysága: 676 g/l víz, 20°C-on </w:t>
      </w:r>
    </w:p>
    <w:p w:rsidR="00C55628" w:rsidRDefault="00C55628" w:rsidP="005D6C4F">
      <w:pPr>
        <w:tabs>
          <w:tab w:val="left" w:pos="2552"/>
        </w:tabs>
        <w:ind w:left="284" w:firstLine="142"/>
        <w:jc w:val="both"/>
        <w:rPr>
          <w:rFonts w:ascii="Tahoma" w:hAnsi="Tahoma" w:cs="Tahoma"/>
          <w:snapToGrid w:val="0"/>
        </w:rPr>
      </w:pPr>
      <w:r>
        <w:rPr>
          <w:rFonts w:ascii="Tahoma" w:hAnsi="Tahoma" w:cs="Tahoma"/>
          <w:snapToGrid w:val="0"/>
        </w:rPr>
        <w:t>Megoszlási hányados:</w:t>
      </w:r>
      <w:r>
        <w:rPr>
          <w:rFonts w:ascii="Tahoma" w:hAnsi="Tahoma" w:cs="Tahoma"/>
          <w:snapToGrid w:val="0"/>
        </w:rPr>
        <w:tab/>
        <w:t>– 1,72 (citromsav 20°C-on)</w:t>
      </w:r>
    </w:p>
    <w:p w:rsidR="00C55628" w:rsidRDefault="00C55628" w:rsidP="005D6C4F">
      <w:pPr>
        <w:tabs>
          <w:tab w:val="left" w:pos="2552"/>
        </w:tabs>
        <w:ind w:left="284" w:hanging="284"/>
        <w:jc w:val="both"/>
        <w:rPr>
          <w:rFonts w:ascii="Tahoma" w:hAnsi="Tahoma" w:cs="Tahoma"/>
          <w:snapToGrid w:val="0"/>
        </w:rPr>
      </w:pPr>
      <w:r w:rsidRPr="009C1D9A">
        <w:rPr>
          <w:rFonts w:ascii="Tahoma" w:hAnsi="Tahoma" w:cs="Tahoma"/>
          <w:b/>
          <w:bCs/>
          <w:snapToGrid w:val="0"/>
        </w:rPr>
        <w:t>9.2. Egyéb információ:</w:t>
      </w:r>
      <w:r>
        <w:rPr>
          <w:rFonts w:ascii="Tahoma" w:hAnsi="Tahoma" w:cs="Tahoma"/>
          <w:snapToGrid w:val="0"/>
        </w:rPr>
        <w:tab/>
        <w:t>nincs adat, nem áll rendelkezésre vagy nem releváns</w:t>
      </w:r>
    </w:p>
    <w:p w:rsidR="00C55628" w:rsidRDefault="00C55628"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10. szakasz: Stabilitás és reakciókészség</w:t>
      </w:r>
    </w:p>
    <w:p w:rsidR="00C55628" w:rsidRPr="00781269" w:rsidRDefault="00C55628" w:rsidP="00B5250F">
      <w:pPr>
        <w:jc w:val="both"/>
        <w:rPr>
          <w:rFonts w:ascii="Tahoma" w:hAnsi="Tahoma" w:cs="Tahoma"/>
          <w:snapToGrid w:val="0"/>
        </w:rPr>
      </w:pPr>
      <w:r w:rsidRPr="00781269">
        <w:rPr>
          <w:rFonts w:ascii="Tahoma" w:hAnsi="Tahoma" w:cs="Tahoma"/>
          <w:b/>
          <w:bCs/>
          <w:snapToGrid w:val="0"/>
        </w:rPr>
        <w:t>10.1. Reakciókészség:</w:t>
      </w:r>
      <w:r w:rsidRPr="00781269">
        <w:rPr>
          <w:rFonts w:ascii="Tahoma" w:hAnsi="Tahoma" w:cs="Tahoma"/>
          <w:snapToGrid w:val="0"/>
        </w:rPr>
        <w:t xml:space="preserve"> nem </w:t>
      </w:r>
      <w:r>
        <w:rPr>
          <w:rFonts w:ascii="Tahoma" w:hAnsi="Tahoma" w:cs="Tahoma"/>
          <w:snapToGrid w:val="0"/>
        </w:rPr>
        <w:t xml:space="preserve">jellemző, savas oldat, lúgokkal sót képez. </w:t>
      </w:r>
    </w:p>
    <w:p w:rsidR="00C55628" w:rsidRPr="00781269" w:rsidRDefault="00C55628" w:rsidP="00B5250F">
      <w:pPr>
        <w:spacing w:before="40"/>
        <w:jc w:val="both"/>
        <w:rPr>
          <w:rFonts w:ascii="Tahoma" w:hAnsi="Tahoma" w:cs="Tahoma"/>
          <w:snapToGrid w:val="0"/>
        </w:rPr>
      </w:pPr>
      <w:r w:rsidRPr="00781269">
        <w:rPr>
          <w:rFonts w:ascii="Tahoma" w:hAnsi="Tahoma" w:cs="Tahoma"/>
          <w:b/>
          <w:bCs/>
          <w:snapToGrid w:val="0"/>
        </w:rPr>
        <w:t xml:space="preserve">10.2. Kémiai stabilitás: </w:t>
      </w:r>
      <w:r w:rsidRPr="00781269">
        <w:rPr>
          <w:rFonts w:ascii="Tahoma" w:hAnsi="Tahoma" w:cs="Tahoma"/>
          <w:snapToGrid w:val="0"/>
        </w:rPr>
        <w:t>közönséges körülmények (szokásos hőmérséklet-, és nyomásviszonyok, valamint a 7. szakasz alatt előírt tárolási körülmények) között a termék stabil.</w:t>
      </w:r>
    </w:p>
    <w:p w:rsidR="00C55628" w:rsidRPr="00781269" w:rsidRDefault="00C55628" w:rsidP="00B5250F">
      <w:pPr>
        <w:spacing w:before="40"/>
        <w:jc w:val="both"/>
        <w:rPr>
          <w:rFonts w:ascii="Tahoma" w:hAnsi="Tahoma" w:cs="Tahoma"/>
          <w:snapToGrid w:val="0"/>
        </w:rPr>
      </w:pPr>
      <w:r w:rsidRPr="00781269">
        <w:rPr>
          <w:rFonts w:ascii="Tahoma" w:hAnsi="Tahoma" w:cs="Tahoma"/>
          <w:b/>
          <w:bCs/>
          <w:snapToGrid w:val="0"/>
        </w:rPr>
        <w:t>10.3. A veszélyes reakciók lehetősége:</w:t>
      </w:r>
      <w:r w:rsidRPr="00182C62">
        <w:rPr>
          <w:rFonts w:ascii="Tahoma" w:hAnsi="Tahoma" w:cs="Tahoma"/>
          <w:snapToGrid w:val="0"/>
        </w:rPr>
        <w:t xml:space="preserve"> reakció aktív klórtartalmú készítményekkel.</w:t>
      </w:r>
    </w:p>
    <w:p w:rsidR="00C55628" w:rsidRPr="00781269" w:rsidRDefault="00C55628" w:rsidP="00B5250F">
      <w:pPr>
        <w:autoSpaceDE w:val="0"/>
        <w:spacing w:before="60"/>
        <w:jc w:val="both"/>
        <w:rPr>
          <w:rFonts w:ascii="Tahoma" w:hAnsi="Tahoma" w:cs="Tahoma"/>
        </w:rPr>
      </w:pPr>
      <w:r w:rsidRPr="00781269">
        <w:rPr>
          <w:rFonts w:ascii="Tahoma" w:hAnsi="Tahoma" w:cs="Tahoma"/>
          <w:b/>
          <w:bCs/>
          <w:snapToGrid w:val="0"/>
        </w:rPr>
        <w:t xml:space="preserve">10.4. Kerülendő körülmények: </w:t>
      </w:r>
      <w:r w:rsidRPr="00781269">
        <w:rPr>
          <w:rFonts w:ascii="Tahoma" w:hAnsi="Tahoma" w:cs="Tahoma"/>
          <w:snapToGrid w:val="0"/>
        </w:rPr>
        <w:t>rendeltetésszerű használat esetén nem ismertek</w:t>
      </w:r>
      <w:r>
        <w:rPr>
          <w:rFonts w:ascii="Tahoma" w:hAnsi="Tahoma" w:cs="Tahoma"/>
          <w:snapToGrid w:val="0"/>
        </w:rPr>
        <w:t>. Hőhatás, fagy.</w:t>
      </w:r>
    </w:p>
    <w:p w:rsidR="00C55628" w:rsidRPr="00781269" w:rsidRDefault="00C55628" w:rsidP="00B5250F">
      <w:pPr>
        <w:spacing w:before="60"/>
        <w:jc w:val="both"/>
        <w:rPr>
          <w:rFonts w:ascii="Tahoma" w:hAnsi="Tahoma" w:cs="Tahoma"/>
          <w:snapToGrid w:val="0"/>
        </w:rPr>
      </w:pPr>
      <w:r w:rsidRPr="00781269">
        <w:rPr>
          <w:rFonts w:ascii="Tahoma" w:hAnsi="Tahoma" w:cs="Tahoma"/>
          <w:b/>
          <w:bCs/>
          <w:snapToGrid w:val="0"/>
        </w:rPr>
        <w:t>10.5. Nem összeférhető anyagok:</w:t>
      </w:r>
      <w:r w:rsidRPr="00781269">
        <w:rPr>
          <w:rFonts w:ascii="Tahoma" w:hAnsi="Tahoma" w:cs="Tahoma"/>
          <w:snapToGrid w:val="0"/>
        </w:rPr>
        <w:t xml:space="preserve"> </w:t>
      </w:r>
      <w:r>
        <w:rPr>
          <w:rFonts w:ascii="Tahoma" w:hAnsi="Tahoma" w:cs="Tahoma"/>
          <w:snapToGrid w:val="0"/>
        </w:rPr>
        <w:t xml:space="preserve">aktív klórtartalmú készítmények, </w:t>
      </w:r>
      <w:r>
        <w:rPr>
          <w:rFonts w:ascii="Tahoma" w:hAnsi="Tahoma" w:cs="Tahoma"/>
        </w:rPr>
        <w:t xml:space="preserve">lúgok, </w:t>
      </w:r>
      <w:r w:rsidRPr="00781269">
        <w:rPr>
          <w:rFonts w:ascii="Tahoma" w:hAnsi="Tahoma" w:cs="Tahoma"/>
        </w:rPr>
        <w:t>erős oxidáló</w:t>
      </w:r>
      <w:r>
        <w:rPr>
          <w:rFonts w:ascii="Tahoma" w:hAnsi="Tahoma" w:cs="Tahoma"/>
        </w:rPr>
        <w:t xml:space="preserve"> </w:t>
      </w:r>
      <w:r w:rsidRPr="00781269">
        <w:rPr>
          <w:rFonts w:ascii="Tahoma" w:hAnsi="Tahoma" w:cs="Tahoma"/>
        </w:rPr>
        <w:t>szerek</w:t>
      </w:r>
      <w:r>
        <w:rPr>
          <w:rFonts w:ascii="Tahoma" w:hAnsi="Tahoma" w:cs="Tahoma"/>
        </w:rPr>
        <w:t xml:space="preserve">. </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11. szakasz: Toxikológiai adatok</w:t>
      </w:r>
    </w:p>
    <w:p w:rsidR="00C55628" w:rsidRDefault="00C55628" w:rsidP="00B5250F">
      <w:pPr>
        <w:autoSpaceDE w:val="0"/>
        <w:jc w:val="both"/>
        <w:rPr>
          <w:rFonts w:ascii="Tahoma" w:hAnsi="Tahoma" w:cs="Tahoma"/>
          <w:color w:val="000000"/>
        </w:rPr>
      </w:pPr>
      <w:r>
        <w:rPr>
          <w:rFonts w:ascii="Tahoma" w:hAnsi="Tahoma" w:cs="Tahoma"/>
          <w:b/>
          <w:bCs/>
        </w:rPr>
        <w:t xml:space="preserve">11.1. </w:t>
      </w:r>
      <w:r w:rsidRPr="00A676E4">
        <w:rPr>
          <w:rFonts w:ascii="Tahoma" w:hAnsi="Tahoma" w:cs="Tahoma"/>
          <w:b/>
          <w:bCs/>
        </w:rPr>
        <w:t>A toxikológiai hatásokra vonatkozó információ:</w:t>
      </w:r>
      <w:r w:rsidRPr="00A676E4">
        <w:rPr>
          <w:rFonts w:ascii="Tahoma" w:hAnsi="Tahoma" w:cs="Tahoma"/>
        </w:rPr>
        <w:t xml:space="preserve"> </w:t>
      </w:r>
      <w:r>
        <w:rPr>
          <w:rFonts w:ascii="Tahoma" w:hAnsi="Tahoma" w:cs="Tahoma"/>
        </w:rPr>
        <w:t>célzott vizsgálatok nem történtek. Osztályozása, toxikológiai megítélése</w:t>
      </w:r>
      <w:r w:rsidRPr="00A676E4">
        <w:rPr>
          <w:rFonts w:ascii="Tahoma" w:hAnsi="Tahoma" w:cs="Tahoma"/>
          <w:color w:val="000000"/>
        </w:rPr>
        <w:t xml:space="preserve"> a</w:t>
      </w:r>
      <w:r>
        <w:rPr>
          <w:rFonts w:ascii="Tahoma" w:hAnsi="Tahoma" w:cs="Tahoma"/>
          <w:color w:val="000000"/>
        </w:rPr>
        <w:t xml:space="preserve"> CLP-rendelet keverékekre vonatkozó osztályozási kritériumainak a figyelembevételével történt. </w:t>
      </w:r>
    </w:p>
    <w:p w:rsidR="00C55628" w:rsidRPr="00A168CC" w:rsidRDefault="00C55628" w:rsidP="00B5250F">
      <w:pPr>
        <w:pStyle w:val="BodyTextIndent"/>
        <w:spacing w:before="40"/>
        <w:ind w:left="0"/>
      </w:pPr>
      <w:r w:rsidRPr="007D5581">
        <w:rPr>
          <w:b/>
          <w:bCs/>
        </w:rPr>
        <w:t xml:space="preserve">Akut toxicitás: </w:t>
      </w:r>
      <w:r w:rsidRPr="007D5581">
        <w:t>a termék nem osztályozandó lenyelve, bőrön át felsz</w:t>
      </w:r>
      <w:r>
        <w:t>í</w:t>
      </w:r>
      <w:r w:rsidRPr="007D5581">
        <w:t>vódva, belélegezve ártalmas keveréknek.</w:t>
      </w:r>
      <w:r>
        <w:t xml:space="preserve"> </w:t>
      </w:r>
    </w:p>
    <w:p w:rsidR="00C55628" w:rsidRPr="007D5581" w:rsidRDefault="00C55628" w:rsidP="00B5250F">
      <w:pPr>
        <w:autoSpaceDE w:val="0"/>
        <w:autoSpaceDN w:val="0"/>
        <w:adjustRightInd w:val="0"/>
        <w:spacing w:before="40"/>
        <w:jc w:val="both"/>
        <w:rPr>
          <w:rFonts w:ascii="Tahoma" w:hAnsi="Tahoma" w:cs="Tahoma"/>
        </w:rPr>
      </w:pPr>
      <w:r w:rsidRPr="007D5581">
        <w:rPr>
          <w:rFonts w:ascii="Tahoma" w:hAnsi="Tahoma" w:cs="Tahoma"/>
          <w:b/>
          <w:bCs/>
        </w:rPr>
        <w:t>Bőrmarás/bőrirritáció:</w:t>
      </w:r>
      <w:r w:rsidRPr="007D5581">
        <w:rPr>
          <w:rFonts w:ascii="Tahoma" w:hAnsi="Tahoma" w:cs="Tahoma"/>
          <w:snapToGrid w:val="0"/>
        </w:rPr>
        <w:t xml:space="preserve"> a rendelkezésre álló adatok</w:t>
      </w:r>
      <w:r w:rsidRPr="007D5581">
        <w:rPr>
          <w:rFonts w:ascii="Tahoma" w:hAnsi="Tahoma" w:cs="Tahoma"/>
        </w:rPr>
        <w:t xml:space="preserve"> alapján az osztályozás kritériumai nem teljesülnek. </w:t>
      </w:r>
    </w:p>
    <w:p w:rsidR="00C55628" w:rsidRDefault="00C55628" w:rsidP="00B5250F">
      <w:pPr>
        <w:pStyle w:val="BodyTextIndent"/>
        <w:spacing w:before="40"/>
        <w:ind w:left="0"/>
      </w:pPr>
      <w:r w:rsidRPr="007D5581">
        <w:rPr>
          <w:b/>
          <w:bCs/>
        </w:rPr>
        <w:t xml:space="preserve">Szemkárosodás/szemirritáció: </w:t>
      </w:r>
      <w:r w:rsidRPr="007D5581">
        <w:t>a rendelkezésre álló adatok alapján az osztályozás kritériumai teljesülnek</w:t>
      </w:r>
      <w:r>
        <w:t>. A szemirritáló (Eye Irrit. 2) összetevő koncentrációja 10%.</w:t>
      </w:r>
    </w:p>
    <w:p w:rsidR="00C55628" w:rsidRPr="00182C62" w:rsidRDefault="00C55628" w:rsidP="00B5250F">
      <w:pPr>
        <w:pStyle w:val="BodyTextIndent"/>
        <w:spacing w:before="40"/>
        <w:ind w:left="0"/>
      </w:pPr>
      <w:r w:rsidRPr="00182C62">
        <w:rPr>
          <w:b/>
          <w:bCs/>
        </w:rPr>
        <w:t>Bőr és légúti szenzibilizáció:</w:t>
      </w:r>
      <w:r w:rsidRPr="00182C62">
        <w:t xml:space="preserve"> a rendelkezésre álló adatok alapján az osztályozás kritériumai nem teljesülnek. </w:t>
      </w:r>
    </w:p>
    <w:p w:rsidR="00C55628" w:rsidRDefault="00C55628" w:rsidP="00B5250F">
      <w:pPr>
        <w:autoSpaceDE w:val="0"/>
        <w:autoSpaceDN w:val="0"/>
        <w:adjustRightInd w:val="0"/>
        <w:spacing w:before="60"/>
        <w:jc w:val="both"/>
        <w:rPr>
          <w:rFonts w:ascii="Tahoma" w:hAnsi="Tahoma" w:cs="Tahoma"/>
        </w:rPr>
      </w:pPr>
      <w:r w:rsidRPr="008D584F">
        <w:rPr>
          <w:rFonts w:ascii="Tahoma" w:hAnsi="Tahoma" w:cs="Tahoma"/>
          <w:b/>
          <w:bCs/>
          <w:snapToGrid w:val="0"/>
        </w:rPr>
        <w:t>CMR hatások (rákkeltő, mutagén és reprodukciós toxicitás)</w:t>
      </w:r>
      <w:r>
        <w:rPr>
          <w:rFonts w:ascii="Tahoma" w:hAnsi="Tahoma" w:cs="Tahoma"/>
          <w:b/>
          <w:bCs/>
          <w:snapToGrid w:val="0"/>
        </w:rPr>
        <w:t xml:space="preserve">: </w:t>
      </w:r>
      <w:r>
        <w:rPr>
          <w:rFonts w:ascii="Tahoma" w:hAnsi="Tahoma" w:cs="Tahoma"/>
          <w:snapToGrid w:val="0"/>
        </w:rPr>
        <w:t>jelentős hatás, kritikus veszély nem ismert. A</w:t>
      </w:r>
      <w:r w:rsidRPr="008D584F">
        <w:rPr>
          <w:rFonts w:ascii="Tahoma" w:hAnsi="Tahoma" w:cs="Tahoma"/>
          <w:snapToGrid w:val="0"/>
        </w:rPr>
        <w:t xml:space="preserve"> rendelkezésre álló adatok</w:t>
      </w:r>
      <w:r w:rsidRPr="008D584F">
        <w:rPr>
          <w:rFonts w:ascii="Tahoma" w:hAnsi="Tahoma" w:cs="Tahoma"/>
        </w:rPr>
        <w:t xml:space="preserve"> </w:t>
      </w:r>
      <w:r w:rsidRPr="00C033C4">
        <w:rPr>
          <w:rFonts w:ascii="Tahoma" w:hAnsi="Tahoma" w:cs="Tahoma"/>
        </w:rPr>
        <w:t>alapján</w:t>
      </w:r>
      <w:r>
        <w:rPr>
          <w:rFonts w:ascii="Tahoma" w:hAnsi="Tahoma" w:cs="Tahoma"/>
        </w:rPr>
        <w:t xml:space="preserve"> a termék CMR tulajdonságú anyagot nem tartalmaz, </w:t>
      </w:r>
      <w:r w:rsidRPr="00C033C4">
        <w:rPr>
          <w:rFonts w:ascii="Tahoma" w:hAnsi="Tahoma" w:cs="Tahoma"/>
        </w:rPr>
        <w:t>az osztályozás kritériumai nem teljesülnek.</w:t>
      </w:r>
    </w:p>
    <w:p w:rsidR="00C55628" w:rsidRPr="00335C02" w:rsidRDefault="00C55628" w:rsidP="00B5250F">
      <w:pPr>
        <w:pStyle w:val="BodyTextIndent"/>
        <w:spacing w:before="80"/>
        <w:ind w:left="0"/>
      </w:pPr>
      <w:r>
        <w:rPr>
          <w:b/>
          <w:bCs/>
        </w:rPr>
        <w:t xml:space="preserve">Célszervi toxicitás (STOT SE , STOT RE): </w:t>
      </w:r>
      <w:r w:rsidRPr="00335C02">
        <w:t xml:space="preserve">az osztályozás kritériumai nem teljesülnek. </w:t>
      </w:r>
    </w:p>
    <w:p w:rsidR="00C55628" w:rsidRDefault="00C55628" w:rsidP="00B5250F">
      <w:pPr>
        <w:pStyle w:val="BodyTextIndent"/>
        <w:spacing w:before="80"/>
        <w:ind w:left="0"/>
      </w:pPr>
      <w:r>
        <w:rPr>
          <w:b/>
          <w:bCs/>
        </w:rPr>
        <w:t>Aspirációs toxicitás:</w:t>
      </w:r>
      <w:r w:rsidRPr="0086624B">
        <w:t xml:space="preserve"> </w:t>
      </w:r>
      <w:r>
        <w:t xml:space="preserve">jelentős hatás, kritikus veszély nem ismert, </w:t>
      </w:r>
      <w:r w:rsidRPr="008D584F">
        <w:t xml:space="preserve">a rendelkezésre álló adatok </w:t>
      </w:r>
      <w:r w:rsidRPr="00C033C4">
        <w:t>alapján az osztályozás kritériumai nem teljesülnek.</w:t>
      </w:r>
    </w:p>
    <w:p w:rsidR="00C55628" w:rsidRPr="00B5250F" w:rsidRDefault="00C55628" w:rsidP="00B5250F">
      <w:pPr>
        <w:pStyle w:val="BodyTextIndent"/>
        <w:ind w:left="0"/>
        <w:rPr>
          <w:b/>
          <w:bCs/>
          <w:color w:val="000000"/>
        </w:rPr>
      </w:pPr>
      <w:r>
        <w:rPr>
          <w:b/>
          <w:bCs/>
          <w:color w:val="000000"/>
        </w:rPr>
        <w:t xml:space="preserve">11.2. </w:t>
      </w:r>
      <w:r w:rsidRPr="00B5250F">
        <w:rPr>
          <w:b/>
          <w:bCs/>
          <w:color w:val="000000"/>
        </w:rPr>
        <w:t>A citromsav-monohidrátra vonatkozó adatok:</w:t>
      </w:r>
    </w:p>
    <w:p w:rsidR="00C55628" w:rsidRPr="00F31477" w:rsidRDefault="00C55628" w:rsidP="00B5250F">
      <w:pPr>
        <w:pStyle w:val="BodyTextIndent"/>
        <w:spacing w:before="20"/>
        <w:ind w:left="0"/>
        <w:rPr>
          <w:color w:val="000000"/>
        </w:rPr>
      </w:pPr>
      <w:r>
        <w:rPr>
          <w:color w:val="000000"/>
        </w:rPr>
        <w:t xml:space="preserve">Akut toxicitás: </w:t>
      </w:r>
      <w:r w:rsidRPr="00F31477">
        <w:rPr>
          <w:color w:val="000000"/>
        </w:rPr>
        <w:t>LD</w:t>
      </w:r>
      <w:r w:rsidRPr="00F31477">
        <w:rPr>
          <w:color w:val="000000"/>
          <w:vertAlign w:val="subscript"/>
        </w:rPr>
        <w:t xml:space="preserve">50 </w:t>
      </w:r>
      <w:r w:rsidRPr="00F31477">
        <w:rPr>
          <w:color w:val="000000"/>
        </w:rPr>
        <w:t>(orális, patkány): 5</w:t>
      </w:r>
      <w:r>
        <w:rPr>
          <w:color w:val="000000"/>
        </w:rPr>
        <w:t>4</w:t>
      </w:r>
      <w:r w:rsidRPr="00F31477">
        <w:rPr>
          <w:color w:val="000000"/>
        </w:rPr>
        <w:t>00 mg/ttkg</w:t>
      </w:r>
      <w:r>
        <w:rPr>
          <w:color w:val="000000"/>
        </w:rPr>
        <w:t xml:space="preserve">; </w:t>
      </w:r>
      <w:r w:rsidRPr="00F31477">
        <w:rPr>
          <w:color w:val="000000"/>
        </w:rPr>
        <w:t>LD</w:t>
      </w:r>
      <w:r w:rsidRPr="00F31477">
        <w:rPr>
          <w:color w:val="000000"/>
          <w:vertAlign w:val="subscript"/>
        </w:rPr>
        <w:t xml:space="preserve">50 </w:t>
      </w:r>
      <w:r w:rsidRPr="00F31477">
        <w:rPr>
          <w:color w:val="000000"/>
        </w:rPr>
        <w:t>(</w:t>
      </w:r>
      <w:r>
        <w:rPr>
          <w:color w:val="000000"/>
        </w:rPr>
        <w:t>dermális</w:t>
      </w:r>
      <w:r w:rsidRPr="00F31477">
        <w:rPr>
          <w:color w:val="000000"/>
        </w:rPr>
        <w:t>, patkány): &gt; 2000 mg/ttkg</w:t>
      </w:r>
    </w:p>
    <w:p w:rsidR="00C55628" w:rsidRDefault="00C55628" w:rsidP="00B5250F">
      <w:pPr>
        <w:pStyle w:val="BodyTextIndent"/>
        <w:spacing w:before="20"/>
        <w:ind w:left="0"/>
        <w:rPr>
          <w:color w:val="000000"/>
        </w:rPr>
      </w:pPr>
      <w:r>
        <w:rPr>
          <w:color w:val="000000"/>
        </w:rPr>
        <w:t>Bőrmarás/b</w:t>
      </w:r>
      <w:r w:rsidRPr="00F31477">
        <w:rPr>
          <w:color w:val="000000"/>
        </w:rPr>
        <w:t xml:space="preserve">őrirritáció: </w:t>
      </w:r>
      <w:r>
        <w:rPr>
          <w:color w:val="000000"/>
        </w:rPr>
        <w:t>citromsav 50%-os vizes oldata nem irritáló nyulakon okkluzív kötésben</w:t>
      </w:r>
      <w:r>
        <w:rPr>
          <w:rStyle w:val="FootnoteReference"/>
          <w:color w:val="000000"/>
        </w:rPr>
        <w:footnoteReference w:id="5"/>
      </w:r>
      <w:r>
        <w:rPr>
          <w:color w:val="000000"/>
        </w:rPr>
        <w:t>.</w:t>
      </w:r>
    </w:p>
    <w:p w:rsidR="00C55628" w:rsidRPr="00F31477" w:rsidRDefault="00C55628" w:rsidP="00F36C2D">
      <w:pPr>
        <w:pStyle w:val="BodyTextIndent"/>
        <w:spacing w:before="20"/>
        <w:ind w:left="0" w:firstLine="1985"/>
        <w:rPr>
          <w:color w:val="000000"/>
        </w:rPr>
      </w:pPr>
      <w:r>
        <w:rPr>
          <w:color w:val="000000"/>
        </w:rPr>
        <w:t>Az OECD 404 teszt szerint gyengén bőrirritáló hatású.</w:t>
      </w:r>
      <w:r>
        <w:rPr>
          <w:rStyle w:val="FootnoteReference"/>
          <w:color w:val="000000"/>
        </w:rPr>
        <w:footnoteReference w:id="6"/>
      </w:r>
    </w:p>
    <w:p w:rsidR="00C55628" w:rsidRPr="00F31477" w:rsidRDefault="00C55628" w:rsidP="00182C62">
      <w:pPr>
        <w:pStyle w:val="BodyTextIndent"/>
        <w:spacing w:before="20"/>
        <w:ind w:left="0"/>
        <w:rPr>
          <w:color w:val="000000"/>
        </w:rPr>
      </w:pPr>
      <w:r>
        <w:rPr>
          <w:color w:val="000000"/>
        </w:rPr>
        <w:t>Súlyos sz</w:t>
      </w:r>
      <w:r w:rsidRPr="00F31477">
        <w:rPr>
          <w:color w:val="000000"/>
        </w:rPr>
        <w:t xml:space="preserve">emkárosodás/szemirritáció: </w:t>
      </w:r>
      <w:r>
        <w:rPr>
          <w:color w:val="000000"/>
        </w:rPr>
        <w:t xml:space="preserve">erősen </w:t>
      </w:r>
      <w:r w:rsidRPr="00F31477">
        <w:rPr>
          <w:color w:val="000000"/>
        </w:rPr>
        <w:t>irritál</w:t>
      </w:r>
      <w:r>
        <w:rPr>
          <w:color w:val="000000"/>
        </w:rPr>
        <w:t xml:space="preserve">, </w:t>
      </w:r>
      <w:r w:rsidRPr="00F31477">
        <w:rPr>
          <w:color w:val="000000"/>
        </w:rPr>
        <w:t>OECD 405</w:t>
      </w:r>
      <w:r>
        <w:rPr>
          <w:color w:val="000000"/>
        </w:rPr>
        <w:t xml:space="preserve"> teszt.</w:t>
      </w:r>
    </w:p>
    <w:p w:rsidR="00C55628" w:rsidRPr="00F31477" w:rsidRDefault="00C55628" w:rsidP="00B5250F">
      <w:pPr>
        <w:pStyle w:val="BodyTextIndent"/>
        <w:spacing w:before="20"/>
        <w:ind w:left="0"/>
        <w:rPr>
          <w:color w:val="000000"/>
        </w:rPr>
      </w:pPr>
      <w:r w:rsidRPr="00F31477">
        <w:rPr>
          <w:color w:val="000000"/>
        </w:rPr>
        <w:t xml:space="preserve">Légúti irritáció: </w:t>
      </w:r>
      <w:r>
        <w:rPr>
          <w:color w:val="000000"/>
        </w:rPr>
        <w:t xml:space="preserve">porának belégzése esetén </w:t>
      </w:r>
      <w:r w:rsidRPr="00F31477">
        <w:rPr>
          <w:color w:val="000000"/>
        </w:rPr>
        <w:t>lehetséges</w:t>
      </w:r>
      <w:r>
        <w:rPr>
          <w:color w:val="000000"/>
        </w:rPr>
        <w:t>.</w:t>
      </w:r>
    </w:p>
    <w:p w:rsidR="00C55628" w:rsidRPr="00F31477" w:rsidRDefault="00C55628" w:rsidP="00B5250F">
      <w:pPr>
        <w:pStyle w:val="BodyTextIndent"/>
        <w:spacing w:before="20"/>
        <w:ind w:left="0"/>
        <w:rPr>
          <w:color w:val="000000"/>
        </w:rPr>
      </w:pPr>
      <w:r>
        <w:rPr>
          <w:color w:val="000000"/>
        </w:rPr>
        <w:t>Bőrs</w:t>
      </w:r>
      <w:r w:rsidRPr="00F31477">
        <w:rPr>
          <w:color w:val="000000"/>
        </w:rPr>
        <w:t>zenzibilizáció: nem szenzibilizál (tengerimalac</w:t>
      </w:r>
      <w:r>
        <w:rPr>
          <w:color w:val="000000"/>
        </w:rPr>
        <w:t>,</w:t>
      </w:r>
      <w:r w:rsidRPr="00F31477">
        <w:rPr>
          <w:color w:val="000000"/>
        </w:rPr>
        <w:t xml:space="preserve"> Buehler teszt)</w:t>
      </w:r>
      <w:r>
        <w:rPr>
          <w:color w:val="000000"/>
        </w:rPr>
        <w:t>.</w:t>
      </w:r>
    </w:p>
    <w:p w:rsidR="00C55628" w:rsidRPr="00F31477" w:rsidRDefault="00C55628" w:rsidP="00B5250F">
      <w:pPr>
        <w:pStyle w:val="BodyTextIndent"/>
        <w:spacing w:before="20"/>
        <w:ind w:left="0"/>
        <w:rPr>
          <w:color w:val="000000"/>
        </w:rPr>
      </w:pPr>
      <w:r w:rsidRPr="00F31477">
        <w:rPr>
          <w:color w:val="000000"/>
        </w:rPr>
        <w:t>Csírasejt-mutagenitás: in vivo kísérletekben nem mutagén</w:t>
      </w:r>
      <w:r>
        <w:rPr>
          <w:color w:val="000000"/>
        </w:rPr>
        <w:t>.</w:t>
      </w:r>
    </w:p>
    <w:p w:rsidR="00C55628" w:rsidRPr="00F31477" w:rsidRDefault="00C55628" w:rsidP="00B5250F">
      <w:pPr>
        <w:pStyle w:val="BodyTextIndent"/>
        <w:spacing w:before="20"/>
        <w:ind w:left="0"/>
        <w:rPr>
          <w:color w:val="000000"/>
        </w:rPr>
      </w:pPr>
      <w:r w:rsidRPr="00F31477">
        <w:rPr>
          <w:color w:val="000000"/>
        </w:rPr>
        <w:t>Rákkeltő hatás: Állatkísérletekben nem rákkeltő, nem szerepel az IARC, NTP, OSHA listákon.</w:t>
      </w:r>
    </w:p>
    <w:p w:rsidR="00C55628" w:rsidRPr="00F31477" w:rsidRDefault="00C55628" w:rsidP="00B5250F">
      <w:pPr>
        <w:pStyle w:val="BodyTextIndent"/>
        <w:spacing w:before="20"/>
        <w:ind w:left="0"/>
        <w:rPr>
          <w:color w:val="000000"/>
        </w:rPr>
      </w:pPr>
      <w:r w:rsidRPr="00F31477">
        <w:rPr>
          <w:color w:val="000000"/>
        </w:rPr>
        <w:t>Reprodukciós toxicitás: nem teratogén</w:t>
      </w:r>
      <w:r>
        <w:rPr>
          <w:color w:val="000000"/>
        </w:rPr>
        <w:t>.</w:t>
      </w:r>
    </w:p>
    <w:p w:rsidR="00C55628" w:rsidRDefault="00C55628" w:rsidP="00B5250F">
      <w:pPr>
        <w:pStyle w:val="BodyTextIndent"/>
        <w:tabs>
          <w:tab w:val="left" w:pos="142"/>
        </w:tabs>
        <w:spacing w:before="20"/>
        <w:ind w:left="0"/>
        <w:rPr>
          <w:color w:val="000000"/>
        </w:rPr>
      </w:pPr>
      <w:r w:rsidRPr="00F31477">
        <w:rPr>
          <w:color w:val="000000"/>
        </w:rPr>
        <w:t xml:space="preserve">Célszervi toxicitás, egyszeri/többszöri expozíció: </w:t>
      </w:r>
      <w:r>
        <w:rPr>
          <w:color w:val="000000"/>
        </w:rPr>
        <w:t>n</w:t>
      </w:r>
      <w:r w:rsidRPr="00F31477">
        <w:rPr>
          <w:color w:val="000000"/>
        </w:rPr>
        <w:t>em osztályozzák, mint speciális célszervi toxikus anyagot.</w:t>
      </w:r>
    </w:p>
    <w:p w:rsidR="00C55628" w:rsidRPr="00F31477" w:rsidRDefault="00C55628" w:rsidP="00B5250F">
      <w:pPr>
        <w:pStyle w:val="BodyTextIndent"/>
        <w:tabs>
          <w:tab w:val="left" w:pos="142"/>
        </w:tabs>
        <w:spacing w:before="20"/>
        <w:ind w:left="0"/>
        <w:rPr>
          <w:color w:val="000000"/>
        </w:rPr>
      </w:pPr>
      <w:r>
        <w:rPr>
          <w:color w:val="000000"/>
        </w:rPr>
        <w:t>Aspirációs veszély: nem valószínűsíthető.</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12. szakasz: Ökológiai információk</w:t>
      </w:r>
    </w:p>
    <w:p w:rsidR="00C55628" w:rsidRDefault="00C55628" w:rsidP="005D6C4F">
      <w:pPr>
        <w:pStyle w:val="BodyTextIndent"/>
        <w:spacing w:before="0"/>
        <w:ind w:left="0"/>
      </w:pPr>
      <w:r>
        <w:rPr>
          <w:b/>
          <w:bCs/>
        </w:rPr>
        <w:t>12.1. Toxicitás</w:t>
      </w:r>
      <w:r w:rsidRPr="00087B12">
        <w:rPr>
          <w:b/>
          <w:bCs/>
        </w:rPr>
        <w:t>:</w:t>
      </w:r>
      <w:r w:rsidRPr="00087B12">
        <w:t xml:space="preserve"> </w:t>
      </w:r>
      <w:r>
        <w:t xml:space="preserve">célzott </w:t>
      </w:r>
      <w:r w:rsidRPr="001A71E5">
        <w:t xml:space="preserve">vizsgálatokat nem végeztek. </w:t>
      </w:r>
      <w:r>
        <w:t>M</w:t>
      </w:r>
      <w:r w:rsidRPr="00783638">
        <w:t xml:space="preserve">egítélése </w:t>
      </w:r>
      <w:r>
        <w:t xml:space="preserve">az összetevőkre vonatkozó ökotoxikológiai adatok alapján a CLP-rendeletnek megfelelően történt. </w:t>
      </w:r>
    </w:p>
    <w:p w:rsidR="00C55628" w:rsidRDefault="00C55628" w:rsidP="005D6C4F">
      <w:pPr>
        <w:pStyle w:val="BodyTextIndent"/>
        <w:spacing w:before="0"/>
        <w:ind w:left="0"/>
      </w:pPr>
      <w:r>
        <w:t xml:space="preserve">A termék nem osztályozandó a környezetre veszélyes keveréknek. </w:t>
      </w:r>
    </w:p>
    <w:p w:rsidR="00C55628" w:rsidRDefault="00C55628" w:rsidP="004A2824">
      <w:pPr>
        <w:pStyle w:val="BodyTextIndent"/>
        <w:spacing w:before="40"/>
        <w:ind w:left="0"/>
      </w:pPr>
      <w:r w:rsidRPr="001316A1">
        <w:t>A citromsav</w:t>
      </w:r>
      <w:r>
        <w:t xml:space="preserve"> toxicitása vízi élőlényekre</w:t>
      </w:r>
      <w:r w:rsidRPr="001316A1">
        <w:t>:</w:t>
      </w:r>
      <w:r>
        <w:tab/>
      </w:r>
      <w:r w:rsidRPr="001316A1">
        <w:t>L</w:t>
      </w:r>
      <w:r>
        <w:t>C</w:t>
      </w:r>
      <w:r w:rsidRPr="001316A1">
        <w:rPr>
          <w:vertAlign w:val="subscript"/>
        </w:rPr>
        <w:t>50</w:t>
      </w:r>
      <w:r w:rsidRPr="001316A1">
        <w:t xml:space="preserve"> (hal, </w:t>
      </w:r>
      <w:r>
        <w:t>4</w:t>
      </w:r>
      <w:r w:rsidRPr="001316A1">
        <w:t>8 óra): 440 mg/</w:t>
      </w:r>
      <w:r>
        <w:t>l</w:t>
      </w:r>
    </w:p>
    <w:p w:rsidR="00C55628" w:rsidRPr="001316A1" w:rsidRDefault="00C55628" w:rsidP="005717D0">
      <w:pPr>
        <w:pStyle w:val="BodyTextIndent"/>
        <w:spacing w:before="40"/>
        <w:ind w:left="0" w:firstLine="3544"/>
      </w:pPr>
      <w:r>
        <w:t>E</w:t>
      </w:r>
      <w:r w:rsidRPr="001316A1">
        <w:t>C</w:t>
      </w:r>
      <w:r w:rsidRPr="001316A1">
        <w:rPr>
          <w:vertAlign w:val="subscript"/>
        </w:rPr>
        <w:t>50</w:t>
      </w:r>
      <w:r w:rsidRPr="001316A1">
        <w:t xml:space="preserve"> (</w:t>
      </w:r>
      <w:r w:rsidRPr="001316A1">
        <w:rPr>
          <w:i/>
          <w:iCs/>
        </w:rPr>
        <w:t>Daphnia magna,</w:t>
      </w:r>
      <w:r>
        <w:rPr>
          <w:i/>
          <w:iCs/>
        </w:rPr>
        <w:t xml:space="preserve"> </w:t>
      </w:r>
      <w:r>
        <w:t>24</w:t>
      </w:r>
      <w:r w:rsidRPr="001316A1">
        <w:t xml:space="preserve"> óra): 1535 mg/l</w:t>
      </w:r>
    </w:p>
    <w:p w:rsidR="00C55628" w:rsidRDefault="00C55628" w:rsidP="004A2824">
      <w:pPr>
        <w:pStyle w:val="BodyTextIndent"/>
        <w:spacing w:before="40"/>
        <w:ind w:left="0"/>
      </w:pPr>
      <w:r w:rsidRPr="001A71E5">
        <w:rPr>
          <w:b/>
          <w:bCs/>
        </w:rPr>
        <w:t>12.</w:t>
      </w:r>
      <w:r>
        <w:rPr>
          <w:b/>
          <w:bCs/>
        </w:rPr>
        <w:t>2</w:t>
      </w:r>
      <w:r w:rsidRPr="001A71E5">
        <w:rPr>
          <w:b/>
          <w:bCs/>
        </w:rPr>
        <w:t>. Perzisztencia és lebonthatóság:</w:t>
      </w:r>
      <w:r>
        <w:rPr>
          <w:b/>
          <w:bCs/>
        </w:rPr>
        <w:t xml:space="preserve"> </w:t>
      </w:r>
      <w:r w:rsidRPr="0012223F">
        <w:t>a</w:t>
      </w:r>
      <w:r w:rsidRPr="00A70C8D">
        <w:t xml:space="preserve"> termékben lévő felületaktív anyag</w:t>
      </w:r>
      <w:r>
        <w:t xml:space="preserve"> </w:t>
      </w:r>
      <w:r w:rsidRPr="00A70C8D">
        <w:t>megfelel</w:t>
      </w:r>
      <w:r>
        <w:t xml:space="preserve"> </w:t>
      </w:r>
      <w:r w:rsidRPr="00A70C8D">
        <w:t>a 648/2004/EK rendeletben előírt biológiai lebomlási kritériumoknak</w:t>
      </w:r>
      <w:r>
        <w:t xml:space="preserve"> (&gt;80%, OECD 310). </w:t>
      </w:r>
      <w:r w:rsidRPr="00A70C8D">
        <w:t>Az ezt alátámasztó adatok mindenkor a tagállamok illetékes szerveinek a rendelkezésére állnak, és közvetlen kérésükre vagy a tisztítószer gyártó kérésére megtekinthetők.</w:t>
      </w:r>
      <w:r>
        <w:t xml:space="preserve"> </w:t>
      </w:r>
    </w:p>
    <w:p w:rsidR="00C55628" w:rsidRDefault="00C55628" w:rsidP="004A2824">
      <w:pPr>
        <w:pStyle w:val="BodyTextIndent"/>
        <w:spacing w:before="40"/>
        <w:ind w:left="0"/>
      </w:pPr>
      <w:r>
        <w:t>A citromsav biológiailag jól lebontható (Sturm teszt).</w:t>
      </w:r>
    </w:p>
    <w:p w:rsidR="00C55628" w:rsidRDefault="00C55628" w:rsidP="004A2824">
      <w:pPr>
        <w:pStyle w:val="BodyTextIndent2"/>
        <w:spacing w:before="40"/>
        <w:ind w:left="0"/>
        <w:rPr>
          <w:b/>
          <w:bCs/>
        </w:rPr>
      </w:pPr>
      <w:r w:rsidRPr="001A71E5">
        <w:rPr>
          <w:b/>
          <w:bCs/>
        </w:rPr>
        <w:t>12.</w:t>
      </w:r>
      <w:r>
        <w:rPr>
          <w:b/>
          <w:bCs/>
        </w:rPr>
        <w:t>3</w:t>
      </w:r>
      <w:r w:rsidRPr="001A71E5">
        <w:rPr>
          <w:b/>
          <w:bCs/>
        </w:rPr>
        <w:t xml:space="preserve">. </w:t>
      </w:r>
      <w:r>
        <w:rPr>
          <w:b/>
          <w:bCs/>
        </w:rPr>
        <w:t>Bioakkumulációs képesség:</w:t>
      </w:r>
      <w:r>
        <w:t xml:space="preserve"> bioakkumuláció nem várható; citromsav logP</w:t>
      </w:r>
      <w:r w:rsidRPr="008C1723">
        <w:rPr>
          <w:vertAlign w:val="subscript"/>
        </w:rPr>
        <w:t>o/v</w:t>
      </w:r>
      <w:r w:rsidRPr="009801E7">
        <w:t xml:space="preserve"> </w:t>
      </w:r>
      <w:r>
        <w:t>értéke: &lt; 1, a nemionos felületaktív anyag</w:t>
      </w:r>
      <w:r w:rsidRPr="008C1723">
        <w:t xml:space="preserve"> </w:t>
      </w:r>
      <w:r>
        <w:t>logP</w:t>
      </w:r>
      <w:r w:rsidRPr="008C1723">
        <w:rPr>
          <w:vertAlign w:val="subscript"/>
        </w:rPr>
        <w:t>o/v</w:t>
      </w:r>
      <w:r w:rsidRPr="009801E7">
        <w:t xml:space="preserve"> </w:t>
      </w:r>
      <w:r>
        <w:t>értéke: 5,66.</w:t>
      </w:r>
    </w:p>
    <w:p w:rsidR="00C55628" w:rsidRDefault="00C55628" w:rsidP="004A2824">
      <w:pPr>
        <w:pStyle w:val="BodyTextIndent2"/>
        <w:spacing w:before="40"/>
        <w:ind w:left="0"/>
      </w:pPr>
      <w:r w:rsidRPr="00ED5636">
        <w:rPr>
          <w:b/>
          <w:bCs/>
        </w:rPr>
        <w:t>12.</w:t>
      </w:r>
      <w:r>
        <w:rPr>
          <w:b/>
          <w:bCs/>
        </w:rPr>
        <w:t>4</w:t>
      </w:r>
      <w:r w:rsidRPr="00ED5636">
        <w:rPr>
          <w:b/>
          <w:bCs/>
        </w:rPr>
        <w:t>. A talajban való mobilitás:</w:t>
      </w:r>
      <w:r>
        <w:t xml:space="preserve"> nincs adat.</w:t>
      </w:r>
    </w:p>
    <w:p w:rsidR="00C55628" w:rsidRDefault="00C55628" w:rsidP="004A2824">
      <w:pPr>
        <w:pStyle w:val="BodyTextIndent2"/>
        <w:spacing w:before="40"/>
        <w:ind w:left="0"/>
      </w:pPr>
      <w:r w:rsidRPr="0083583D">
        <w:rPr>
          <w:b/>
          <w:bCs/>
        </w:rPr>
        <w:t>12.5. A PBT</w:t>
      </w:r>
      <w:r>
        <w:rPr>
          <w:b/>
          <w:bCs/>
        </w:rPr>
        <w:t>-</w:t>
      </w:r>
      <w:r w:rsidRPr="0083583D">
        <w:rPr>
          <w:b/>
          <w:bCs/>
        </w:rPr>
        <w:t xml:space="preserve"> és </w:t>
      </w:r>
      <w:r>
        <w:rPr>
          <w:b/>
          <w:bCs/>
        </w:rPr>
        <w:t xml:space="preserve">a </w:t>
      </w:r>
      <w:r w:rsidRPr="0083583D">
        <w:rPr>
          <w:b/>
          <w:bCs/>
        </w:rPr>
        <w:t>vPvB</w:t>
      </w:r>
      <w:r>
        <w:rPr>
          <w:b/>
          <w:bCs/>
        </w:rPr>
        <w:t>-</w:t>
      </w:r>
      <w:r w:rsidRPr="0083583D">
        <w:rPr>
          <w:b/>
          <w:bCs/>
        </w:rPr>
        <w:t>értékelés:</w:t>
      </w:r>
      <w:r>
        <w:t xml:space="preserve"> a termék összetevői nem PBT, nem vPvB anyagok.</w:t>
      </w:r>
    </w:p>
    <w:p w:rsidR="00C55628" w:rsidRPr="001A71E5" w:rsidRDefault="00C55628" w:rsidP="004A2824">
      <w:pPr>
        <w:pStyle w:val="BodyTextIndent2"/>
        <w:spacing w:before="40"/>
        <w:ind w:left="0"/>
      </w:pPr>
      <w:r>
        <w:rPr>
          <w:b/>
          <w:bCs/>
        </w:rPr>
        <w:t xml:space="preserve">12.6. </w:t>
      </w:r>
      <w:r w:rsidRPr="001A71E5">
        <w:rPr>
          <w:b/>
          <w:bCs/>
        </w:rPr>
        <w:t>Egyéb</w:t>
      </w:r>
      <w:r>
        <w:rPr>
          <w:b/>
          <w:bCs/>
        </w:rPr>
        <w:t xml:space="preserve"> káros hatás:</w:t>
      </w:r>
      <w:r w:rsidRPr="0010615F">
        <w:t xml:space="preserve"> nem ismert. </w:t>
      </w:r>
    </w:p>
    <w:p w:rsidR="00C55628" w:rsidRDefault="00C55628"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13. szakasz: Ártalmatlanítási szempontok</w:t>
      </w:r>
    </w:p>
    <w:p w:rsidR="00C55628" w:rsidRDefault="00C55628" w:rsidP="00B26C47">
      <w:pPr>
        <w:pStyle w:val="BodyTextIndent"/>
        <w:ind w:left="0"/>
      </w:pPr>
      <w:r w:rsidRPr="00D14ED4">
        <w:rPr>
          <w:b/>
          <w:bCs/>
        </w:rPr>
        <w:t>13.1. Hulladékkezelési módszerek</w:t>
      </w:r>
      <w:r>
        <w:rPr>
          <w:b/>
          <w:bCs/>
        </w:rPr>
        <w:t xml:space="preserve">: </w:t>
      </w:r>
      <w:r w:rsidRPr="00794836">
        <w:t xml:space="preserve">a </w:t>
      </w:r>
      <w:r w:rsidRPr="00D14ED4">
        <w:t>termék és annak csomagolóanyagának ártalmatlanítása a helyi előírásoknak megfelelően történjen.</w:t>
      </w:r>
      <w:r>
        <w:t xml:space="preserve"> </w:t>
      </w:r>
    </w:p>
    <w:p w:rsidR="00C55628" w:rsidRPr="006E031F" w:rsidRDefault="00C55628" w:rsidP="00B26C47">
      <w:pPr>
        <w:pStyle w:val="BodyTextIndent"/>
        <w:ind w:left="0"/>
      </w:pPr>
      <w:r w:rsidRPr="00D14ED4">
        <w:t xml:space="preserve">A termék maradékainak és hulladékainak kezelésére a </w:t>
      </w:r>
      <w:r>
        <w:t>225</w:t>
      </w:r>
      <w:r w:rsidRPr="00D14ED4">
        <w:t>/20</w:t>
      </w:r>
      <w:r>
        <w:t>15</w:t>
      </w:r>
      <w:r w:rsidRPr="00D14ED4">
        <w:t>. (V</w:t>
      </w:r>
      <w:r>
        <w:t>II</w:t>
      </w:r>
      <w:r w:rsidRPr="00D14ED4">
        <w:t>I.</w:t>
      </w:r>
      <w:r>
        <w:t>7</w:t>
      </w:r>
      <w:r w:rsidRPr="00D14ED4">
        <w:t xml:space="preserve">.) Kormányrendeletben foglaltak az irányadók. </w:t>
      </w:r>
      <w:r w:rsidRPr="006E031F">
        <w:t>A készítmény hulladékának besorolása a felhasználás helyétől és a hulladékká válás körülményeitől függően változhat.</w:t>
      </w:r>
    </w:p>
    <w:p w:rsidR="00C55628" w:rsidRDefault="00C55628" w:rsidP="005D6C4F">
      <w:pPr>
        <w:pStyle w:val="BodyTextIndent"/>
        <w:spacing w:before="0"/>
        <w:ind w:left="0"/>
      </w:pPr>
      <w:r>
        <w:rPr>
          <w:spacing w:val="-2"/>
        </w:rPr>
        <w:t>Kis mennyiségek háztartási hulladékként kezelhetőek.</w:t>
      </w:r>
    </w:p>
    <w:p w:rsidR="00C55628" w:rsidRDefault="00C55628" w:rsidP="00CD5461">
      <w:pPr>
        <w:tabs>
          <w:tab w:val="left" w:pos="2268"/>
        </w:tabs>
        <w:spacing w:before="40"/>
        <w:ind w:right="170"/>
        <w:jc w:val="both"/>
        <w:rPr>
          <w:rFonts w:ascii="Tahoma" w:hAnsi="Tahoma" w:cs="Tahoma"/>
          <w:snapToGrid w:val="0"/>
        </w:rPr>
      </w:pPr>
      <w:r w:rsidRPr="001F6E55">
        <w:rPr>
          <w:rFonts w:ascii="Tahoma" w:hAnsi="Tahoma" w:cs="Tahoma"/>
          <w:b/>
          <w:bCs/>
          <w:snapToGrid w:val="0"/>
          <w:spacing w:val="-2"/>
        </w:rPr>
        <w:t>13.2. A termék hulladékának besorolása</w:t>
      </w:r>
      <w:r>
        <w:rPr>
          <w:rFonts w:ascii="Tahoma" w:hAnsi="Tahoma" w:cs="Tahoma"/>
          <w:b/>
          <w:bCs/>
          <w:snapToGrid w:val="0"/>
          <w:spacing w:val="-2"/>
        </w:rPr>
        <w:t>/h</w:t>
      </w:r>
      <w:r w:rsidRPr="001F6E55">
        <w:rPr>
          <w:rFonts w:ascii="Tahoma" w:hAnsi="Tahoma" w:cs="Tahoma"/>
          <w:b/>
          <w:bCs/>
          <w:snapToGrid w:val="0"/>
        </w:rPr>
        <w:t xml:space="preserve">ulladékkulcs/EWC-kód: </w:t>
      </w:r>
      <w:r w:rsidRPr="00797D23">
        <w:rPr>
          <w:rFonts w:ascii="Tahoma" w:hAnsi="Tahoma" w:cs="Tahoma"/>
          <w:snapToGrid w:val="0"/>
        </w:rPr>
        <w:t xml:space="preserve">07 06 </w:t>
      </w:r>
      <w:r>
        <w:rPr>
          <w:rFonts w:ascii="Tahoma" w:hAnsi="Tahoma" w:cs="Tahoma"/>
          <w:snapToGrid w:val="0"/>
        </w:rPr>
        <w:t>01* vagy 16 10 01*</w:t>
      </w:r>
    </w:p>
    <w:p w:rsidR="00C55628" w:rsidRPr="001F6E55" w:rsidRDefault="00C55628" w:rsidP="00CD5461">
      <w:pPr>
        <w:tabs>
          <w:tab w:val="left" w:pos="142"/>
          <w:tab w:val="left" w:pos="1701"/>
        </w:tabs>
        <w:spacing w:before="60"/>
        <w:jc w:val="both"/>
        <w:rPr>
          <w:rFonts w:ascii="Tahoma" w:hAnsi="Tahoma" w:cs="Tahoma"/>
          <w:snapToGrid w:val="0"/>
        </w:rPr>
      </w:pPr>
      <w:r>
        <w:rPr>
          <w:rFonts w:ascii="Tahoma" w:hAnsi="Tahoma" w:cs="Tahoma"/>
          <w:b/>
          <w:bCs/>
          <w:snapToGrid w:val="0"/>
        </w:rPr>
        <w:t>A vízzel alaposan kitisztított, hulladékká vált</w:t>
      </w:r>
      <w:r w:rsidRPr="001F6E55">
        <w:rPr>
          <w:rFonts w:ascii="Tahoma" w:hAnsi="Tahoma" w:cs="Tahoma"/>
          <w:b/>
          <w:bCs/>
          <w:snapToGrid w:val="0"/>
        </w:rPr>
        <w:t xml:space="preserve"> csomagolóanyag besorolása</w:t>
      </w:r>
      <w:r>
        <w:rPr>
          <w:rFonts w:ascii="Tahoma" w:hAnsi="Tahoma" w:cs="Tahoma"/>
          <w:b/>
          <w:bCs/>
          <w:snapToGrid w:val="0"/>
        </w:rPr>
        <w:t xml:space="preserve">: </w:t>
      </w:r>
      <w:r w:rsidRPr="001F6E55">
        <w:rPr>
          <w:rFonts w:ascii="Tahoma" w:hAnsi="Tahoma" w:cs="Tahoma"/>
          <w:snapToGrid w:val="0"/>
        </w:rPr>
        <w:t>15 01 02</w:t>
      </w:r>
    </w:p>
    <w:p w:rsidR="00C55628" w:rsidRDefault="00C55628" w:rsidP="00CD5461">
      <w:pPr>
        <w:pStyle w:val="BodyTextIndent"/>
        <w:spacing w:before="0"/>
        <w:ind w:left="0"/>
      </w:pPr>
      <w:r w:rsidRPr="00AF549D">
        <w:t xml:space="preserve">A csomagolási hulladékkal kapcsolatos hulladékgazdálkodási tevékenységet a 442/2012. (XII.29.) </w:t>
      </w:r>
      <w:r>
        <w:t>k</w:t>
      </w:r>
      <w:r w:rsidRPr="00AF549D">
        <w:t>ormányrendelet szabályozza.</w:t>
      </w:r>
    </w:p>
    <w:p w:rsidR="00C55628" w:rsidRDefault="00C55628" w:rsidP="00B26C47">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14. szakasz: Szállításra vonatkozó információk</w:t>
      </w:r>
    </w:p>
    <w:p w:rsidR="00C55628" w:rsidRPr="007E27A7" w:rsidRDefault="00C55628" w:rsidP="005D6C4F">
      <w:pPr>
        <w:pStyle w:val="BodyTextIndent"/>
        <w:spacing w:before="0"/>
        <w:ind w:left="0"/>
      </w:pPr>
      <w:r w:rsidRPr="007E27A7">
        <w:t xml:space="preserve">A termék a veszélyes áruk nemzetközi szállítását szabályozó egyezmények szerint (ADR/RID, IMDG, IATA/ICAO) </w:t>
      </w:r>
      <w:r w:rsidRPr="0021620D">
        <w:rPr>
          <w:b/>
          <w:bCs/>
        </w:rPr>
        <w:t>nem</w:t>
      </w:r>
      <w:r>
        <w:t xml:space="preserve"> </w:t>
      </w:r>
      <w:r w:rsidRPr="007E27A7">
        <w:rPr>
          <w:b/>
          <w:bCs/>
        </w:rPr>
        <w:t>veszélyes áru.</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15. szakasz: Szabályozással kapcsolatos információk</w:t>
      </w:r>
    </w:p>
    <w:p w:rsidR="00C55628" w:rsidRPr="00852B67" w:rsidRDefault="00C55628" w:rsidP="00B26C47">
      <w:pPr>
        <w:pStyle w:val="BodyTextIndent"/>
        <w:ind w:left="0"/>
        <w:rPr>
          <w:b/>
          <w:bCs/>
        </w:rPr>
      </w:pPr>
      <w:r w:rsidRPr="00852B67">
        <w:rPr>
          <w:b/>
          <w:bCs/>
        </w:rPr>
        <w:t xml:space="preserve">15.1. </w:t>
      </w:r>
      <w:r>
        <w:rPr>
          <w:b/>
          <w:bCs/>
        </w:rPr>
        <w:t>A keverékkel k</w:t>
      </w:r>
      <w:r w:rsidRPr="00852B67">
        <w:rPr>
          <w:b/>
          <w:bCs/>
        </w:rPr>
        <w:t>apcsolatos biztonsági, egészségügyi és környezetvédelmi előírások/jogszabályok</w:t>
      </w:r>
    </w:p>
    <w:p w:rsidR="00C55628" w:rsidRPr="00887421" w:rsidRDefault="00C55628" w:rsidP="00B72CE8">
      <w:pPr>
        <w:pStyle w:val="BodyTextIndent"/>
        <w:widowControl w:val="0"/>
        <w:spacing w:before="40"/>
        <w:ind w:left="0"/>
      </w:pPr>
      <w:r w:rsidRPr="00887421">
        <w:t>A termék nem tartalmaz különös aggodalomra okot adó (SVHC) anyagot.</w:t>
      </w:r>
    </w:p>
    <w:p w:rsidR="00C55628" w:rsidRPr="00887421" w:rsidRDefault="00C55628" w:rsidP="00B72CE8">
      <w:pPr>
        <w:pStyle w:val="BodyTextIndent"/>
        <w:widowControl w:val="0"/>
        <w:spacing w:before="40"/>
        <w:ind w:left="0"/>
      </w:pPr>
      <w:r w:rsidRPr="00887421">
        <w:t>A termék nem tartalmaz a REACH XIV. mellékletében listázott anyagot.</w:t>
      </w:r>
    </w:p>
    <w:p w:rsidR="00C55628" w:rsidRDefault="00C55628" w:rsidP="00B72CE8">
      <w:pPr>
        <w:pStyle w:val="BodyTextIndent"/>
        <w:widowControl w:val="0"/>
        <w:spacing w:before="40"/>
        <w:ind w:left="0"/>
      </w:pPr>
      <w:r w:rsidRPr="00887421">
        <w:t>A termék nem tartalmaz a REACH XVII. mellékletben szereplő anyagot.</w:t>
      </w:r>
    </w:p>
    <w:p w:rsidR="00C55628" w:rsidRPr="00887421" w:rsidRDefault="00C55628" w:rsidP="00B72CE8">
      <w:pPr>
        <w:pStyle w:val="BodyTextIndent"/>
        <w:widowControl w:val="0"/>
        <w:spacing w:before="40"/>
        <w:ind w:left="0"/>
      </w:pPr>
      <w:r w:rsidRPr="00887421">
        <w:t>A termék nem tartalmaz ózonréteg károsító anyagot.</w:t>
      </w:r>
    </w:p>
    <w:p w:rsidR="00C55628" w:rsidRPr="0023362B" w:rsidRDefault="00C55628" w:rsidP="00B72CE8">
      <w:pPr>
        <w:pStyle w:val="BodyTextIndent"/>
        <w:spacing w:before="120"/>
        <w:ind w:left="0"/>
        <w:rPr>
          <w:b/>
          <w:bCs/>
        </w:rPr>
      </w:pPr>
      <w:r w:rsidRPr="0023362B">
        <w:rPr>
          <w:b/>
          <w:bCs/>
        </w:rPr>
        <w:t xml:space="preserve">Vonatkozó közösségi </w:t>
      </w:r>
      <w:r>
        <w:rPr>
          <w:b/>
          <w:bCs/>
        </w:rPr>
        <w:t>joganyagok</w:t>
      </w:r>
    </w:p>
    <w:p w:rsidR="00C55628" w:rsidRDefault="00C55628" w:rsidP="00B26C47">
      <w:pPr>
        <w:pStyle w:val="BodyTextIndent"/>
        <w:widowControl w:val="0"/>
        <w:ind w:left="0"/>
      </w:pPr>
      <w:r w:rsidRPr="00A74252">
        <w:t>REACH rendelet: 1907/2006/EK és módosításai</w:t>
      </w:r>
      <w:r>
        <w:t>;</w:t>
      </w:r>
    </w:p>
    <w:p w:rsidR="00C55628" w:rsidRPr="00A74252" w:rsidRDefault="00C55628" w:rsidP="00B26C47">
      <w:pPr>
        <w:pStyle w:val="BodyTextIndent"/>
        <w:widowControl w:val="0"/>
        <w:ind w:left="0"/>
      </w:pPr>
      <w:r w:rsidRPr="00A74252">
        <w:t>CLP</w:t>
      </w:r>
      <w:r>
        <w:t xml:space="preserve"> </w:t>
      </w:r>
      <w:r w:rsidRPr="00A74252">
        <w:t>rendelet: 1272/2008/EK és módosításai</w:t>
      </w:r>
      <w:r>
        <w:t>;</w:t>
      </w:r>
    </w:p>
    <w:p w:rsidR="00C55628" w:rsidRPr="00A229DB" w:rsidRDefault="00C55628" w:rsidP="00B26C47">
      <w:pPr>
        <w:pStyle w:val="BodyTextIndent"/>
        <w:spacing w:before="40"/>
        <w:ind w:left="0"/>
      </w:pPr>
      <w:r>
        <w:t>Tisztítószer-rendelet: 648/2004/EK és módosításai;</w:t>
      </w:r>
    </w:p>
    <w:p w:rsidR="00C55628" w:rsidRDefault="00C55628" w:rsidP="00B26C47">
      <w:pPr>
        <w:pStyle w:val="BodyTextIndent"/>
        <w:spacing w:before="40"/>
        <w:ind w:left="0"/>
      </w:pPr>
      <w:r>
        <w:t>98/24/EK irányelve a munkájuk során vegyi anyagokkal kapcsolatos kockázatoknak kitett munkavállalók egészségének, biztonságának védelméről;</w:t>
      </w:r>
    </w:p>
    <w:p w:rsidR="00C55628" w:rsidRDefault="00C55628" w:rsidP="00551E54">
      <w:pPr>
        <w:pStyle w:val="BodyTextIndent"/>
        <w:spacing w:before="40"/>
        <w:ind w:left="0"/>
      </w:pPr>
      <w:r>
        <w:t>Foglalkozási expozíciós határértékek: 91/322/EK rendelet és módosítása; 2000/39/EK irányelv és módosításai.</w:t>
      </w:r>
    </w:p>
    <w:p w:rsidR="00C55628" w:rsidRDefault="00C55628" w:rsidP="00551E54">
      <w:pPr>
        <w:pStyle w:val="BodyTextIndent"/>
        <w:spacing w:before="40"/>
        <w:ind w:left="0"/>
      </w:pPr>
      <w:r>
        <w:t>2008/98/EK irányelv a hulladékokról</w:t>
      </w:r>
    </w:p>
    <w:p w:rsidR="00C55628" w:rsidRPr="00A74252" w:rsidRDefault="00C55628" w:rsidP="00551E54">
      <w:pPr>
        <w:pStyle w:val="BodyTextIndent"/>
        <w:spacing w:before="120"/>
        <w:ind w:left="0"/>
        <w:rPr>
          <w:b/>
          <w:bCs/>
        </w:rPr>
      </w:pPr>
      <w:r w:rsidRPr="00A74252">
        <w:rPr>
          <w:b/>
          <w:bCs/>
        </w:rPr>
        <w:t>Vonatkozó nemzeti joganyag</w:t>
      </w:r>
      <w:r>
        <w:rPr>
          <w:b/>
          <w:bCs/>
        </w:rPr>
        <w:t>ok</w:t>
      </w:r>
    </w:p>
    <w:p w:rsidR="00C55628" w:rsidRPr="00B27141" w:rsidRDefault="00C55628" w:rsidP="00551E54">
      <w:pPr>
        <w:pStyle w:val="BodyTextIndent"/>
        <w:spacing w:before="40"/>
        <w:ind w:left="1701" w:hanging="1701"/>
      </w:pPr>
      <w:r w:rsidRPr="00B27141">
        <w:t>Munkavédelem:</w:t>
      </w:r>
      <w:r w:rsidRPr="00B27141">
        <w:tab/>
        <w:t>az 1993. évi XCIII. törvény a munkavédelemről; 25/2000. (IX.30.) EüM-SzCsM együttes rendelet a munkahelyek kémiai biztonságáról; 33/1998. (VI.24.) NM rendelet a munkaköri, szakmai, illetve személyi higiénés alkalmasság orvosi vizsgálatáról és véleményezéséről; 3/2002. (II.8.) SzCsM-EüM együttes rendelet a munkahelyek munkavédelmi követelményeinek minimális szintjéről;</w:t>
      </w:r>
    </w:p>
    <w:p w:rsidR="00C55628" w:rsidRPr="00B27141" w:rsidRDefault="00C55628" w:rsidP="00B26C47">
      <w:pPr>
        <w:pStyle w:val="BodyTextIndent"/>
        <w:spacing w:before="40"/>
        <w:ind w:left="1701" w:hanging="1701"/>
      </w:pPr>
      <w:r w:rsidRPr="00B27141">
        <w:t>Kémiai biztonság:</w:t>
      </w:r>
      <w:r w:rsidRPr="00B27141">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C55628" w:rsidRPr="00B27141" w:rsidRDefault="00C55628" w:rsidP="00B26C47">
      <w:pPr>
        <w:pStyle w:val="BodyTextIndent"/>
        <w:spacing w:before="40"/>
        <w:ind w:left="1701" w:hanging="1701"/>
      </w:pPr>
      <w:r w:rsidRPr="00B27141">
        <w:t>Környezetvédelem:</w:t>
      </w:r>
      <w:r w:rsidRPr="00B27141">
        <w:tab/>
        <w:t>1995. évi LIII. törvény a környezet védelmének általános szabályairól; 2012. évi CLXXXV. törvény a hulladékokról; 225/2015. (VIII.7.) Korm. rendelet a veszélyes hulladékkal kapcsolatos tevékenységek végzésének feltételeiről; 72/2013. (VIII.27.) VM rendelet a hulladék jegyzékről;</w:t>
      </w:r>
    </w:p>
    <w:p w:rsidR="00C55628" w:rsidRPr="00B27141" w:rsidRDefault="00C55628" w:rsidP="00B26C47">
      <w:pPr>
        <w:pStyle w:val="BodyTextIndent"/>
        <w:widowControl w:val="0"/>
        <w:spacing w:before="40"/>
        <w:ind w:left="1701" w:hanging="1701"/>
      </w:pPr>
      <w:r w:rsidRPr="00B27141">
        <w:t>Tűzvédelem:</w:t>
      </w:r>
      <w:r w:rsidRPr="00B27141">
        <w:tab/>
        <w:t>az 1996. évi XXXI. törvény a tűz elleni védekezésről, a műszaki mentésről és a tűzoltóságról; az 54/2014. (XII.5.) BM rendelet az Országos Tűzvédelmi Szabályzatról</w:t>
      </w:r>
    </w:p>
    <w:p w:rsidR="00C55628" w:rsidRPr="00A74252" w:rsidRDefault="00C55628" w:rsidP="00B26C47">
      <w:pPr>
        <w:pStyle w:val="BodyTextIndent"/>
        <w:widowControl w:val="0"/>
        <w:spacing w:before="120"/>
        <w:ind w:left="0"/>
        <w:jc w:val="left"/>
      </w:pPr>
      <w:r w:rsidRPr="005669ED">
        <w:rPr>
          <w:b/>
          <w:bCs/>
        </w:rPr>
        <w:t>15.2. Kémiai biztonsági értékelés:</w:t>
      </w:r>
      <w:r>
        <w:t xml:space="preserve"> nem készült.</w:t>
      </w:r>
    </w:p>
    <w:p w:rsidR="00C55628" w:rsidRDefault="00C5562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16. szakasz: Egyéb információk</w:t>
      </w:r>
    </w:p>
    <w:p w:rsidR="00C55628" w:rsidRDefault="00C55628" w:rsidP="005D6C4F">
      <w:pPr>
        <w:pStyle w:val="BodyTextIndent"/>
        <w:spacing w:before="0"/>
        <w:ind w:left="0"/>
      </w:pPr>
      <w:r w:rsidRPr="00EC0BAC">
        <w:t xml:space="preserve">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w:t>
      </w:r>
    </w:p>
    <w:p w:rsidR="00C55628" w:rsidRDefault="00C55628" w:rsidP="005D6C4F">
      <w:pPr>
        <w:pStyle w:val="BodyTextIndent"/>
        <w:spacing w:before="0"/>
        <w:ind w:left="0"/>
      </w:pPr>
      <w:r w:rsidRPr="00EC0BAC">
        <w:t>A biztonsági adatlapban foglalt információk, adatok és ajánlások ismereteink legjaván alapszanak és azokat a kiadás időpontjában pontosnak, helytállónak ismerjük, de a javaslatainkért, és az ajánlásainkért garanciát vállalni nem tudunk, hiszen a felhasználás körülményei hatáskörünkön kívül esnek.</w:t>
      </w:r>
      <w:r>
        <w:t xml:space="preserve"> </w:t>
      </w:r>
    </w:p>
    <w:p w:rsidR="00C55628" w:rsidRDefault="00C55628" w:rsidP="005D6C4F">
      <w:pPr>
        <w:pStyle w:val="BodyTextIndent"/>
        <w:spacing w:before="0"/>
        <w:ind w:left="0"/>
      </w:pPr>
      <w:r w:rsidRPr="00EC0BAC">
        <w:t>A felhasználó saját felelősségére dönt az említett információk alkalmazásáról, a termék felhasználásáról. Az adatlap nem jelenti bármilyen jogi kötelezettség vagy felelősség vállalását a helytelen használatból adódó következményekért.</w:t>
      </w:r>
    </w:p>
    <w:p w:rsidR="00C55628" w:rsidRDefault="00C55628" w:rsidP="00C46CAC">
      <w:pPr>
        <w:pStyle w:val="BodyTextIndent"/>
        <w:ind w:left="0"/>
        <w:rPr>
          <w:b/>
          <w:bCs/>
        </w:rPr>
      </w:pPr>
      <w:r>
        <w:rPr>
          <w:b/>
          <w:bCs/>
        </w:rPr>
        <w:t xml:space="preserve">A 2. és a </w:t>
      </w:r>
      <w:r w:rsidRPr="003C3065">
        <w:rPr>
          <w:b/>
          <w:bCs/>
        </w:rPr>
        <w:t xml:space="preserve">3. szakaszában szereplő </w:t>
      </w:r>
      <w:r>
        <w:rPr>
          <w:b/>
          <w:bCs/>
        </w:rPr>
        <w:t>rövidítések és H-</w:t>
      </w:r>
      <w:r w:rsidRPr="003C3065">
        <w:rPr>
          <w:b/>
          <w:bCs/>
        </w:rPr>
        <w:t>mondatok</w:t>
      </w:r>
      <w:r>
        <w:rPr>
          <w:b/>
          <w:bCs/>
        </w:rPr>
        <w:t xml:space="preserve"> szövege</w:t>
      </w:r>
      <w:r w:rsidRPr="003C3065">
        <w:rPr>
          <w:b/>
          <w:bCs/>
        </w:rPr>
        <w:t>:</w:t>
      </w:r>
    </w:p>
    <w:p w:rsidR="00C55628" w:rsidRDefault="00C55628" w:rsidP="00B26C47">
      <w:pPr>
        <w:tabs>
          <w:tab w:val="left" w:pos="1100"/>
        </w:tabs>
        <w:jc w:val="both"/>
        <w:rPr>
          <w:rFonts w:ascii="Tahoma" w:hAnsi="Tahoma" w:cs="Tahoma"/>
          <w:snapToGrid w:val="0"/>
        </w:rPr>
      </w:pPr>
      <w:r>
        <w:rPr>
          <w:rFonts w:ascii="Tahoma" w:hAnsi="Tahoma" w:cs="Tahoma"/>
          <w:snapToGrid w:val="0"/>
        </w:rPr>
        <w:t>RRN: a REACH regisztráció száma</w:t>
      </w:r>
    </w:p>
    <w:p w:rsidR="00C55628" w:rsidRDefault="00C55628" w:rsidP="00E63806">
      <w:pPr>
        <w:pStyle w:val="BodyTextIndent"/>
        <w:tabs>
          <w:tab w:val="left" w:pos="1134"/>
        </w:tabs>
        <w:spacing w:before="0"/>
        <w:ind w:left="0"/>
      </w:pPr>
      <w:r>
        <w:t>M</w:t>
      </w:r>
      <w:r w:rsidRPr="00824369">
        <w:rPr>
          <w:vertAlign w:val="subscript"/>
        </w:rPr>
        <w:t>(akut)</w:t>
      </w:r>
      <w:r>
        <w:t>: M-tényező az akut vízi toxicitásra vonatkozólag</w:t>
      </w:r>
    </w:p>
    <w:p w:rsidR="00C55628" w:rsidRDefault="00C55628" w:rsidP="00E63806">
      <w:pPr>
        <w:pStyle w:val="BodyTextIndent"/>
        <w:tabs>
          <w:tab w:val="left" w:pos="1134"/>
        </w:tabs>
        <w:spacing w:before="0"/>
        <w:ind w:left="0"/>
      </w:pPr>
      <w:r>
        <w:t>PBT: perzisztens, bioakkumulatív, toxikus</w:t>
      </w:r>
    </w:p>
    <w:p w:rsidR="00C55628" w:rsidRDefault="00C55628" w:rsidP="00E63806">
      <w:pPr>
        <w:pStyle w:val="BodyTextIndent"/>
        <w:tabs>
          <w:tab w:val="left" w:pos="1134"/>
        </w:tabs>
        <w:spacing w:before="0"/>
        <w:ind w:left="0"/>
      </w:pPr>
      <w:r>
        <w:t>vPvB: nagyon perzisztens, nagyon bioakkumulatív</w:t>
      </w:r>
    </w:p>
    <w:p w:rsidR="00C55628" w:rsidRPr="006B2FFA" w:rsidRDefault="00C55628" w:rsidP="00E63806">
      <w:pPr>
        <w:tabs>
          <w:tab w:val="left" w:pos="1100"/>
        </w:tabs>
        <w:spacing w:before="120"/>
        <w:jc w:val="both"/>
        <w:rPr>
          <w:rFonts w:ascii="Tahoma" w:hAnsi="Tahoma" w:cs="Tahoma"/>
          <w:snapToGrid w:val="0"/>
        </w:rPr>
      </w:pPr>
      <w:r w:rsidRPr="00B26C47">
        <w:rPr>
          <w:rFonts w:ascii="Tahoma" w:hAnsi="Tahoma" w:cs="Tahoma"/>
          <w:snapToGrid w:val="0"/>
        </w:rPr>
        <w:t>A veszély</w:t>
      </w:r>
      <w:r>
        <w:rPr>
          <w:rFonts w:ascii="Tahoma" w:hAnsi="Tahoma" w:cs="Tahoma"/>
          <w:snapToGrid w:val="0"/>
        </w:rPr>
        <w:t xml:space="preserve">ességi </w:t>
      </w:r>
      <w:r w:rsidRPr="00B26C47">
        <w:rPr>
          <w:rFonts w:ascii="Tahoma" w:hAnsi="Tahoma" w:cs="Tahoma"/>
          <w:snapToGrid w:val="0"/>
        </w:rPr>
        <w:t>osztályok rövidítései, a rövidítések utáni (1-4) számok, az osztályon belüli kategóriát</w:t>
      </w:r>
      <w:r w:rsidRPr="006B2FFA">
        <w:rPr>
          <w:rFonts w:ascii="Tahoma" w:hAnsi="Tahoma" w:cs="Tahoma"/>
          <w:snapToGrid w:val="0"/>
        </w:rPr>
        <w:t xml:space="preserve"> jelölik meg, a nagyobb számok kisebb veszélyt jelentenek: </w:t>
      </w:r>
      <w:r>
        <w:rPr>
          <w:rFonts w:ascii="Tahoma" w:hAnsi="Tahoma" w:cs="Tahoma"/>
          <w:snapToGrid w:val="0"/>
        </w:rPr>
        <w:t xml:space="preserve">Acute Tox.: akut toxicitás; oral: szájon át; </w:t>
      </w:r>
      <w:r>
        <w:rPr>
          <w:rFonts w:ascii="Tahoma" w:hAnsi="Tahoma" w:cs="Tahoma"/>
          <w:snapToGrid w:val="0"/>
        </w:rPr>
        <w:br/>
        <w:t xml:space="preserve">Skin Irrit.: bőrirritáció; Eye Irrit.: szemirritáció; Eye Dam.: súlyos szemkárosodás; Aquatic Acute: vízi környezetre veszélyes, akut veszélyt jelent. </w:t>
      </w:r>
    </w:p>
    <w:p w:rsidR="00C55628" w:rsidRPr="00B26C47" w:rsidRDefault="00C55628" w:rsidP="00B26C47">
      <w:pPr>
        <w:tabs>
          <w:tab w:val="left" w:pos="1276"/>
        </w:tabs>
        <w:ind w:firstLine="426"/>
        <w:jc w:val="both"/>
        <w:rPr>
          <w:rFonts w:ascii="Tahoma" w:hAnsi="Tahoma" w:cs="Tahoma"/>
          <w:snapToGrid w:val="0"/>
        </w:rPr>
      </w:pPr>
      <w:r w:rsidRPr="00B26C47">
        <w:rPr>
          <w:rFonts w:ascii="Tahoma" w:hAnsi="Tahoma" w:cs="Tahoma"/>
          <w:snapToGrid w:val="0"/>
        </w:rPr>
        <w:t>H302</w:t>
      </w:r>
      <w:r w:rsidRPr="00B26C47">
        <w:rPr>
          <w:rFonts w:ascii="Tahoma" w:hAnsi="Tahoma" w:cs="Tahoma"/>
          <w:snapToGrid w:val="0"/>
        </w:rPr>
        <w:tab/>
        <w:t>Lenyelve ártalmas.</w:t>
      </w:r>
    </w:p>
    <w:p w:rsidR="00C55628" w:rsidRPr="00B26C47" w:rsidRDefault="00C55628" w:rsidP="00B26C47">
      <w:pPr>
        <w:tabs>
          <w:tab w:val="left" w:pos="1276"/>
        </w:tabs>
        <w:ind w:firstLine="426"/>
        <w:jc w:val="both"/>
        <w:rPr>
          <w:rFonts w:ascii="Tahoma" w:hAnsi="Tahoma" w:cs="Tahoma"/>
          <w:snapToGrid w:val="0"/>
        </w:rPr>
      </w:pPr>
      <w:r w:rsidRPr="00B26C47">
        <w:rPr>
          <w:rFonts w:ascii="Tahoma" w:hAnsi="Tahoma" w:cs="Tahoma"/>
          <w:snapToGrid w:val="0"/>
        </w:rPr>
        <w:t>H315</w:t>
      </w:r>
      <w:r w:rsidRPr="00B26C47">
        <w:rPr>
          <w:rFonts w:ascii="Tahoma" w:hAnsi="Tahoma" w:cs="Tahoma"/>
          <w:snapToGrid w:val="0"/>
        </w:rPr>
        <w:tab/>
        <w:t>Bőrirritáló hatású.</w:t>
      </w:r>
    </w:p>
    <w:p w:rsidR="00C55628" w:rsidRDefault="00C55628" w:rsidP="000564A5">
      <w:pPr>
        <w:tabs>
          <w:tab w:val="left" w:pos="1276"/>
        </w:tabs>
        <w:ind w:firstLine="426"/>
        <w:jc w:val="both"/>
        <w:rPr>
          <w:rFonts w:ascii="Tahoma" w:hAnsi="Tahoma" w:cs="Tahoma"/>
          <w:snapToGrid w:val="0"/>
        </w:rPr>
      </w:pPr>
      <w:r w:rsidRPr="000564A5">
        <w:rPr>
          <w:rFonts w:ascii="Tahoma" w:hAnsi="Tahoma" w:cs="Tahoma"/>
          <w:snapToGrid w:val="0"/>
        </w:rPr>
        <w:t>H319</w:t>
      </w:r>
      <w:r w:rsidRPr="000564A5">
        <w:rPr>
          <w:rFonts w:ascii="Tahoma" w:hAnsi="Tahoma" w:cs="Tahoma"/>
          <w:snapToGrid w:val="0"/>
        </w:rPr>
        <w:tab/>
        <w:t>Súlyos szemirritációt okoz.</w:t>
      </w:r>
    </w:p>
    <w:p w:rsidR="00C55628" w:rsidRPr="00B26C47" w:rsidRDefault="00C55628" w:rsidP="00B26C47">
      <w:pPr>
        <w:tabs>
          <w:tab w:val="left" w:pos="1276"/>
        </w:tabs>
        <w:ind w:firstLine="426"/>
        <w:jc w:val="both"/>
        <w:rPr>
          <w:rFonts w:ascii="Tahoma" w:hAnsi="Tahoma" w:cs="Tahoma"/>
          <w:snapToGrid w:val="0"/>
        </w:rPr>
      </w:pPr>
      <w:r w:rsidRPr="00B26C47">
        <w:rPr>
          <w:rFonts w:ascii="Tahoma" w:hAnsi="Tahoma" w:cs="Tahoma"/>
          <w:snapToGrid w:val="0"/>
        </w:rPr>
        <w:t>H318</w:t>
      </w:r>
      <w:r w:rsidRPr="00B26C47">
        <w:rPr>
          <w:rFonts w:ascii="Tahoma" w:hAnsi="Tahoma" w:cs="Tahoma"/>
          <w:snapToGrid w:val="0"/>
        </w:rPr>
        <w:tab/>
        <w:t>Súlyos szemkárosodást okoz.</w:t>
      </w:r>
    </w:p>
    <w:p w:rsidR="00C55628" w:rsidRPr="00B26C47" w:rsidRDefault="00C55628" w:rsidP="00B26C47">
      <w:pPr>
        <w:tabs>
          <w:tab w:val="left" w:pos="1276"/>
        </w:tabs>
        <w:ind w:firstLine="426"/>
        <w:jc w:val="both"/>
        <w:rPr>
          <w:rFonts w:ascii="Tahoma" w:hAnsi="Tahoma" w:cs="Tahoma"/>
          <w:snapToGrid w:val="0"/>
        </w:rPr>
      </w:pPr>
      <w:r w:rsidRPr="00B26C47">
        <w:rPr>
          <w:rFonts w:ascii="Tahoma" w:hAnsi="Tahoma" w:cs="Tahoma"/>
          <w:snapToGrid w:val="0"/>
        </w:rPr>
        <w:t>H400</w:t>
      </w:r>
      <w:r w:rsidRPr="00B26C47">
        <w:rPr>
          <w:rFonts w:ascii="Tahoma" w:hAnsi="Tahoma" w:cs="Tahoma"/>
          <w:snapToGrid w:val="0"/>
        </w:rPr>
        <w:tab/>
        <w:t>Nagyon mérgező a vízi élővilágra.</w:t>
      </w:r>
    </w:p>
    <w:p w:rsidR="00C55628" w:rsidRPr="006553AB" w:rsidRDefault="00C55628" w:rsidP="005D6C4F">
      <w:pPr>
        <w:tabs>
          <w:tab w:val="left" w:pos="0"/>
          <w:tab w:val="left" w:pos="1134"/>
        </w:tabs>
        <w:autoSpaceDE w:val="0"/>
        <w:autoSpaceDN w:val="0"/>
        <w:adjustRightInd w:val="0"/>
        <w:spacing w:before="120"/>
        <w:jc w:val="both"/>
        <w:rPr>
          <w:sz w:val="18"/>
          <w:szCs w:val="18"/>
        </w:rPr>
      </w:pPr>
      <w:r w:rsidRPr="007C3FA9">
        <w:rPr>
          <w:rFonts w:ascii="Tahoma" w:hAnsi="Tahoma" w:cs="Tahoma"/>
          <w:b/>
          <w:bCs/>
          <w:snapToGrid w:val="0"/>
        </w:rPr>
        <w:t>Adatlaptörténet:</w:t>
      </w:r>
      <w:r>
        <w:rPr>
          <w:rFonts w:ascii="Tahoma" w:hAnsi="Tahoma" w:cs="Tahoma"/>
          <w:snapToGrid w:val="0"/>
        </w:rPr>
        <w:t xml:space="preserve"> a biztonsági adatlap 1.0-HU verziója a gyártó adatai és az összetevők biztonsági adatlapja alapján készült</w:t>
      </w:r>
      <w:r w:rsidRPr="007C3FA9">
        <w:rPr>
          <w:rFonts w:ascii="Tahoma" w:hAnsi="Tahoma" w:cs="Tahoma"/>
          <w:snapToGrid w:val="0"/>
        </w:rPr>
        <w:t xml:space="preserve"> 201</w:t>
      </w:r>
      <w:r>
        <w:rPr>
          <w:rFonts w:ascii="Tahoma" w:hAnsi="Tahoma" w:cs="Tahoma"/>
          <w:snapToGrid w:val="0"/>
        </w:rPr>
        <w:t>7. március 20-án, melyet felülvizsgáltak 2018. augusztus 15-én.</w:t>
      </w:r>
    </w:p>
    <w:sectPr w:rsidR="00C55628" w:rsidRPr="006553AB" w:rsidSect="008056B9">
      <w:headerReference w:type="default" r:id="rId9"/>
      <w:pgSz w:w="11906" w:h="16838" w:code="9"/>
      <w:pgMar w:top="1527" w:right="1134" w:bottom="1135" w:left="1418" w:header="680" w:footer="68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628" w:rsidRDefault="00C55628">
      <w:r>
        <w:separator/>
      </w:r>
    </w:p>
  </w:endnote>
  <w:endnote w:type="continuationSeparator" w:id="0">
    <w:p w:rsidR="00C55628" w:rsidRDefault="00C556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628" w:rsidRDefault="00C55628">
      <w:r>
        <w:separator/>
      </w:r>
    </w:p>
  </w:footnote>
  <w:footnote w:type="continuationSeparator" w:id="0">
    <w:p w:rsidR="00C55628" w:rsidRDefault="00C55628">
      <w:r>
        <w:continuationSeparator/>
      </w:r>
    </w:p>
  </w:footnote>
  <w:footnote w:id="1">
    <w:p w:rsidR="00C55628" w:rsidRDefault="00C55628" w:rsidP="005D6C4F">
      <w:pPr>
        <w:pStyle w:val="FootnoteText"/>
      </w:pPr>
      <w:r w:rsidRPr="007349D3">
        <w:rPr>
          <w:rStyle w:val="FootnoteReference"/>
          <w:rFonts w:ascii="Tahoma" w:hAnsi="Tahoma" w:cs="Tahoma"/>
          <w:b/>
          <w:bCs/>
          <w:sz w:val="16"/>
          <w:szCs w:val="16"/>
        </w:rPr>
        <w:footnoteRef/>
      </w:r>
      <w:r w:rsidRPr="00922096">
        <w:rPr>
          <w:rFonts w:ascii="Tahoma" w:hAnsi="Tahoma" w:cs="Tahoma"/>
          <w:sz w:val="16"/>
          <w:szCs w:val="16"/>
        </w:rPr>
        <w:t xml:space="preserve"> </w:t>
      </w:r>
      <w:r w:rsidRPr="00922096">
        <w:rPr>
          <w:rFonts w:ascii="Tahoma" w:hAnsi="Tahoma" w:cs="Tahoma"/>
          <w:b/>
          <w:bCs/>
          <w:sz w:val="16"/>
          <w:szCs w:val="16"/>
        </w:rPr>
        <w:t>C</w:t>
      </w:r>
      <w:r w:rsidRPr="00922096">
        <w:rPr>
          <w:rFonts w:ascii="Tahoma" w:hAnsi="Tahoma" w:cs="Tahoma"/>
          <w:sz w:val="16"/>
          <w:szCs w:val="16"/>
        </w:rPr>
        <w:t xml:space="preserve">lassification, </w:t>
      </w:r>
      <w:r w:rsidRPr="00922096">
        <w:rPr>
          <w:rFonts w:ascii="Tahoma" w:hAnsi="Tahoma" w:cs="Tahoma"/>
          <w:b/>
          <w:bCs/>
          <w:sz w:val="16"/>
          <w:szCs w:val="16"/>
        </w:rPr>
        <w:t>L</w:t>
      </w:r>
      <w:r w:rsidRPr="00922096">
        <w:rPr>
          <w:rFonts w:ascii="Tahoma" w:hAnsi="Tahoma" w:cs="Tahoma"/>
          <w:sz w:val="16"/>
          <w:szCs w:val="16"/>
        </w:rPr>
        <w:t xml:space="preserve">abelling and </w:t>
      </w:r>
      <w:r w:rsidRPr="00922096">
        <w:rPr>
          <w:rFonts w:ascii="Tahoma" w:hAnsi="Tahoma" w:cs="Tahoma"/>
          <w:b/>
          <w:bCs/>
          <w:sz w:val="16"/>
          <w:szCs w:val="16"/>
        </w:rPr>
        <w:t>P</w:t>
      </w:r>
      <w:r w:rsidRPr="00922096">
        <w:rPr>
          <w:rFonts w:ascii="Tahoma" w:hAnsi="Tahoma" w:cs="Tahoma"/>
          <w:sz w:val="16"/>
          <w:szCs w:val="16"/>
        </w:rPr>
        <w:t>ackaging</w:t>
      </w:r>
      <w:r>
        <w:rPr>
          <w:rFonts w:ascii="Tahoma" w:hAnsi="Tahoma" w:cs="Tahoma"/>
          <w:sz w:val="16"/>
          <w:szCs w:val="16"/>
        </w:rPr>
        <w:t>:</w:t>
      </w:r>
      <w:r w:rsidRPr="00922096">
        <w:rPr>
          <w:rFonts w:ascii="Tahoma" w:hAnsi="Tahoma" w:cs="Tahoma"/>
          <w:sz w:val="16"/>
          <w:szCs w:val="16"/>
        </w:rPr>
        <w:t xml:space="preserve"> 1272/2008/EK rendelet és </w:t>
      </w:r>
      <w:r>
        <w:rPr>
          <w:rFonts w:ascii="Tahoma" w:hAnsi="Tahoma" w:cs="Tahoma"/>
          <w:sz w:val="16"/>
          <w:szCs w:val="16"/>
        </w:rPr>
        <w:t>módosításai</w:t>
      </w:r>
    </w:p>
  </w:footnote>
  <w:footnote w:id="2">
    <w:p w:rsidR="00C55628" w:rsidRDefault="00C55628" w:rsidP="00B5250F">
      <w:pPr>
        <w:pStyle w:val="FootnoteText"/>
      </w:pPr>
      <w:r>
        <w:rPr>
          <w:rStyle w:val="FootnoteReference"/>
        </w:rPr>
        <w:footnoteRef/>
      </w:r>
      <w:r>
        <w:t xml:space="preserve"> </w:t>
      </w:r>
      <w:r w:rsidRPr="0062652A">
        <w:rPr>
          <w:rFonts w:ascii="Tahoma" w:hAnsi="Tahoma" w:cs="Tahoma"/>
          <w:sz w:val="16"/>
          <w:szCs w:val="16"/>
        </w:rPr>
        <w:t>Nagyobb szám, kisebb veszélyt jelent</w:t>
      </w:r>
      <w:r>
        <w:rPr>
          <w:rFonts w:ascii="Tahoma" w:hAnsi="Tahoma" w:cs="Tahoma"/>
          <w:sz w:val="16"/>
          <w:szCs w:val="16"/>
        </w:rPr>
        <w:t>.</w:t>
      </w:r>
    </w:p>
  </w:footnote>
  <w:footnote w:id="3">
    <w:p w:rsidR="00C55628" w:rsidRDefault="00C55628" w:rsidP="00845210">
      <w:pPr>
        <w:pStyle w:val="FootnoteText"/>
        <w:ind w:left="85" w:hanging="85"/>
      </w:pPr>
      <w:r w:rsidRPr="00DB503D">
        <w:rPr>
          <w:rFonts w:ascii="Tahoma" w:hAnsi="Tahoma" w:cs="Tahoma"/>
          <w:sz w:val="16"/>
          <w:szCs w:val="16"/>
          <w:vertAlign w:val="superscript"/>
        </w:rPr>
        <w:footnoteRef/>
      </w:r>
      <w:r w:rsidRPr="00DB503D">
        <w:rPr>
          <w:rFonts w:ascii="Tahoma" w:hAnsi="Tahoma" w:cs="Tahoma"/>
          <w:sz w:val="16"/>
          <w:szCs w:val="16"/>
        </w:rPr>
        <w:t xml:space="preserve"> DNEL: DERIVED NO EFFECT LEVEL - a származtatott hatásmentes humán-expozíció szintje</w:t>
      </w:r>
    </w:p>
  </w:footnote>
  <w:footnote w:id="4">
    <w:p w:rsidR="00C55628" w:rsidRDefault="00C55628" w:rsidP="00845210">
      <w:pPr>
        <w:pStyle w:val="Default"/>
        <w:keepNext/>
        <w:tabs>
          <w:tab w:val="left" w:pos="567"/>
          <w:tab w:val="left" w:pos="2835"/>
        </w:tabs>
      </w:pPr>
      <w:r w:rsidRPr="00DB503D">
        <w:rPr>
          <w:rStyle w:val="FootnoteReference"/>
          <w:rFonts w:ascii="Tahoma" w:hAnsi="Tahoma" w:cs="Tahoma"/>
          <w:sz w:val="16"/>
          <w:szCs w:val="16"/>
        </w:rPr>
        <w:footnoteRef/>
      </w:r>
      <w:r w:rsidRPr="00DB503D">
        <w:rPr>
          <w:rFonts w:ascii="Tahoma" w:hAnsi="Tahoma" w:cs="Tahoma"/>
          <w:sz w:val="16"/>
          <w:szCs w:val="16"/>
        </w:rPr>
        <w:t xml:space="preserve"> PNEC: PREDICTED NO EFFECT CONCENTRATION - az adott ökoszisztémára károsan még nem ható, becsült </w:t>
      </w:r>
      <w:r w:rsidRPr="00DB503D">
        <w:rPr>
          <w:rFonts w:ascii="Tahoma" w:hAnsi="Tahoma" w:cs="Tahoma"/>
          <w:sz w:val="16"/>
          <w:szCs w:val="16"/>
        </w:rPr>
        <w:tab/>
        <w:t>küszöbkoncentráció</w:t>
      </w:r>
    </w:p>
  </w:footnote>
  <w:footnote w:id="5">
    <w:p w:rsidR="00C55628" w:rsidRDefault="00C55628">
      <w:pPr>
        <w:pStyle w:val="FootnoteText"/>
      </w:pPr>
      <w:r w:rsidRPr="00035BEF">
        <w:rPr>
          <w:rStyle w:val="FootnoteReference"/>
          <w:rFonts w:ascii="Tahoma" w:hAnsi="Tahoma" w:cs="Tahoma"/>
          <w:sz w:val="16"/>
          <w:szCs w:val="16"/>
        </w:rPr>
        <w:footnoteRef/>
      </w:r>
      <w:r w:rsidRPr="00035BEF">
        <w:rPr>
          <w:rFonts w:ascii="Tahoma" w:hAnsi="Tahoma" w:cs="Tahoma"/>
          <w:sz w:val="16"/>
          <w:szCs w:val="16"/>
        </w:rPr>
        <w:t xml:space="preserve"> http://echa.europa.eu/registration-dossier/-/registered-dossier/15451</w:t>
      </w:r>
    </w:p>
  </w:footnote>
  <w:footnote w:id="6">
    <w:p w:rsidR="00C55628" w:rsidRDefault="00C55628">
      <w:pPr>
        <w:pStyle w:val="FootnoteText"/>
      </w:pPr>
      <w:r w:rsidRPr="00577223">
        <w:rPr>
          <w:rStyle w:val="FootnoteReference"/>
          <w:rFonts w:ascii="Tahoma" w:hAnsi="Tahoma" w:cs="Tahoma"/>
          <w:sz w:val="16"/>
          <w:szCs w:val="16"/>
        </w:rPr>
        <w:footnoteRef/>
      </w:r>
      <w:r w:rsidRPr="00577223">
        <w:rPr>
          <w:rFonts w:ascii="Tahoma" w:hAnsi="Tahoma" w:cs="Tahoma"/>
          <w:sz w:val="16"/>
          <w:szCs w:val="16"/>
        </w:rPr>
        <w:t xml:space="preserve"> SIDS Report - http://www.inchem.org/documents/sids/sids/77929.pdf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28" w:rsidRDefault="00C55628" w:rsidP="008056B9">
    <w:pPr>
      <w:pStyle w:val="Header"/>
      <w:tabs>
        <w:tab w:val="clear" w:pos="4536"/>
        <w:tab w:val="clear" w:pos="9072"/>
        <w:tab w:val="right" w:pos="9354"/>
      </w:tabs>
      <w:rPr>
        <w:rFonts w:ascii="Tahoma" w:hAnsi="Tahoma" w:cs="Tahoma"/>
        <w:noProof/>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2049" type="#_x0000_t75" alt="gironde-logo.png" style="position:absolute;margin-left:409.1pt;margin-top:-13.05pt;width:48.6pt;height:44.2pt;z-index:-251656192;visibility:visible" wrapcoords="-332 0 -332 21234 21600 21234 21600 0 -332 0">
          <v:imagedata r:id="rId1" o:title=""/>
          <w10:wrap type="tight"/>
        </v:shape>
      </w:pict>
    </w:r>
    <w:r>
      <w:rPr>
        <w:rFonts w:ascii="Tahoma" w:hAnsi="Tahoma" w:cs="Tahoma"/>
        <w:noProof/>
        <w:sz w:val="14"/>
        <w:szCs w:val="14"/>
      </w:rPr>
      <w:t>Just citromsavas vízkőoldó</w:t>
    </w:r>
    <w:r>
      <w:rPr>
        <w:rFonts w:ascii="Tahoma" w:hAnsi="Tahoma" w:cs="Tahoma"/>
        <w:noProof/>
        <w:sz w:val="14"/>
        <w:szCs w:val="14"/>
      </w:rPr>
      <w:tab/>
    </w:r>
  </w:p>
  <w:p w:rsidR="00C55628" w:rsidRDefault="00C55628" w:rsidP="003A24CA">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1.1 – HU</w:t>
    </w:r>
  </w:p>
  <w:p w:rsidR="00C55628" w:rsidRDefault="00C55628" w:rsidP="00B96918">
    <w:pPr>
      <w:pStyle w:val="Header"/>
      <w:tabs>
        <w:tab w:val="clear" w:pos="9072"/>
        <w:tab w:val="left" w:pos="7230"/>
        <w:tab w:val="left" w:pos="8082"/>
      </w:tabs>
      <w:rPr>
        <w:rStyle w:val="PageNumber"/>
        <w:rFonts w:ascii="Tahoma" w:hAnsi="Tahoma" w:cs="Tahoma"/>
        <w:sz w:val="14"/>
        <w:szCs w:val="14"/>
      </w:rPr>
    </w:pPr>
    <w:r>
      <w:rPr>
        <w:rFonts w:ascii="Tahoma" w:hAnsi="Tahoma" w:cs="Tahoma"/>
        <w:noProof/>
        <w:sz w:val="14"/>
        <w:szCs w:val="14"/>
      </w:rPr>
      <w:t>Készült: 2017. március 20.</w:t>
    </w:r>
    <w:r>
      <w:rPr>
        <w:rFonts w:ascii="Tahoma" w:hAnsi="Tahoma" w:cs="Tahoma"/>
        <w:noProof/>
        <w:sz w:val="14"/>
        <w:szCs w:val="14"/>
      </w:rPr>
      <w:tab/>
    </w:r>
    <w:r>
      <w:rPr>
        <w:rStyle w:val="PageNumber"/>
        <w:rFonts w:ascii="Tahoma" w:hAnsi="Tahoma" w:cs="Tahoma"/>
        <w:sz w:val="14"/>
        <w:szCs w:val="14"/>
      </w:rPr>
      <w:fldChar w:fldCharType="begin"/>
    </w:r>
    <w:r>
      <w:rPr>
        <w:rStyle w:val="PageNumber"/>
        <w:rFonts w:ascii="Tahoma" w:hAnsi="Tahoma" w:cs="Tahoma"/>
        <w:sz w:val="14"/>
        <w:szCs w:val="14"/>
      </w:rPr>
      <w:instrText xml:space="preserve"> PAGE </w:instrText>
    </w:r>
    <w:r>
      <w:rPr>
        <w:rStyle w:val="PageNumber"/>
        <w:rFonts w:ascii="Tahoma" w:hAnsi="Tahoma" w:cs="Tahoma"/>
        <w:sz w:val="14"/>
        <w:szCs w:val="14"/>
      </w:rPr>
      <w:fldChar w:fldCharType="separate"/>
    </w:r>
    <w:r>
      <w:rPr>
        <w:rStyle w:val="PageNumber"/>
        <w:rFonts w:ascii="Tahoma" w:hAnsi="Tahoma" w:cs="Tahoma"/>
        <w:noProof/>
        <w:sz w:val="14"/>
        <w:szCs w:val="14"/>
      </w:rPr>
      <w:t>6</w:t>
    </w:r>
    <w:r>
      <w:rPr>
        <w:rStyle w:val="PageNumber"/>
        <w:rFonts w:ascii="Tahoma" w:hAnsi="Tahoma" w:cs="Tahoma"/>
        <w:sz w:val="14"/>
        <w:szCs w:val="14"/>
      </w:rPr>
      <w:fldChar w:fldCharType="end"/>
    </w:r>
    <w:r>
      <w:rPr>
        <w:rStyle w:val="PageNumber"/>
        <w:rFonts w:ascii="Tahoma" w:hAnsi="Tahoma" w:cs="Tahoma"/>
        <w:sz w:val="14"/>
        <w:szCs w:val="14"/>
      </w:rPr>
      <w:t>/</w:t>
    </w:r>
    <w:r>
      <w:rPr>
        <w:rStyle w:val="PageNumber"/>
        <w:rFonts w:ascii="Tahoma" w:hAnsi="Tahoma" w:cs="Tahoma"/>
        <w:sz w:val="14"/>
        <w:szCs w:val="14"/>
      </w:rPr>
      <w:fldChar w:fldCharType="begin"/>
    </w:r>
    <w:r>
      <w:rPr>
        <w:rStyle w:val="PageNumber"/>
        <w:rFonts w:ascii="Tahoma" w:hAnsi="Tahoma" w:cs="Tahoma"/>
        <w:sz w:val="14"/>
        <w:szCs w:val="14"/>
      </w:rPr>
      <w:instrText xml:space="preserve"> NUMPAGES </w:instrText>
    </w:r>
    <w:r>
      <w:rPr>
        <w:rStyle w:val="PageNumber"/>
        <w:rFonts w:ascii="Tahoma" w:hAnsi="Tahoma" w:cs="Tahoma"/>
        <w:sz w:val="14"/>
        <w:szCs w:val="14"/>
      </w:rPr>
      <w:fldChar w:fldCharType="separate"/>
    </w:r>
    <w:r>
      <w:rPr>
        <w:rStyle w:val="PageNumber"/>
        <w:rFonts w:ascii="Tahoma" w:hAnsi="Tahoma" w:cs="Tahoma"/>
        <w:noProof/>
        <w:sz w:val="14"/>
        <w:szCs w:val="14"/>
      </w:rPr>
      <w:t>6</w:t>
    </w:r>
    <w:r>
      <w:rPr>
        <w:rStyle w:val="PageNumber"/>
        <w:rFonts w:ascii="Tahoma" w:hAnsi="Tahoma" w:cs="Tahoma"/>
        <w:sz w:val="14"/>
        <w:szCs w:val="14"/>
      </w:rPr>
      <w:fldChar w:fldCharType="end"/>
    </w:r>
  </w:p>
  <w:p w:rsidR="00C55628" w:rsidRDefault="00C55628" w:rsidP="00B96918">
    <w:pPr>
      <w:pStyle w:val="Header"/>
      <w:tabs>
        <w:tab w:val="clear" w:pos="9072"/>
        <w:tab w:val="left" w:pos="7230"/>
        <w:tab w:val="left" w:pos="8082"/>
      </w:tabs>
      <w:rPr>
        <w:rStyle w:val="PageNumber"/>
        <w:rFonts w:ascii="Tahoma" w:hAnsi="Tahoma" w:cs="Tahoma"/>
        <w:sz w:val="14"/>
        <w:szCs w:val="14"/>
      </w:rPr>
    </w:pPr>
    <w:r>
      <w:rPr>
        <w:rStyle w:val="PageNumber"/>
        <w:rFonts w:ascii="Tahoma" w:hAnsi="Tahoma" w:cs="Tahoma"/>
        <w:sz w:val="14"/>
        <w:szCs w:val="14"/>
      </w:rPr>
      <w:t>Felülvizsgálva: 2018. augustus 15.</w:t>
    </w:r>
    <w:r>
      <w:rPr>
        <w:rStyle w:val="PageNumber"/>
        <w:rFonts w:ascii="Tahoma" w:hAnsi="Tahoma" w:cs="Tahoma"/>
        <w:sz w:val="14"/>
        <w:szCs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4">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5">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6">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7">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19">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1">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2">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3">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7"/>
  </w:num>
  <w:num w:numId="20">
    <w:abstractNumId w:val="21"/>
  </w:num>
  <w:num w:numId="21">
    <w:abstractNumId w:val="19"/>
  </w:num>
  <w:num w:numId="22">
    <w:abstractNumId w:val="22"/>
  </w:num>
  <w:num w:numId="23">
    <w:abstractNumId w:val="17"/>
  </w:num>
  <w:num w:numId="24">
    <w:abstractNumId w:val="3"/>
  </w:num>
  <w:num w:numId="25">
    <w:abstractNumId w:val="12"/>
  </w:num>
  <w:num w:numId="26">
    <w:abstractNumId w:val="6"/>
  </w:num>
  <w:num w:numId="27">
    <w:abstractNumId w:val="2"/>
  </w:num>
  <w:num w:numId="28">
    <w:abstractNumId w:val="15"/>
  </w:num>
  <w:num w:numId="29">
    <w:abstractNumId w:val="8"/>
  </w:num>
  <w:num w:numId="30">
    <w:abstractNumId w:val="14"/>
  </w:num>
  <w:num w:numId="31">
    <w:abstractNumId w:val="4"/>
  </w:num>
  <w:num w:numId="32">
    <w:abstractNumId w:val="20"/>
  </w:num>
  <w:num w:numId="33">
    <w:abstractNumId w:val="9"/>
  </w:num>
  <w:num w:numId="34">
    <w:abstractNumId w:val="23"/>
  </w:num>
  <w:num w:numId="35">
    <w:abstractNumId w:val="13"/>
  </w:num>
  <w:num w:numId="36">
    <w:abstractNumId w:val="1"/>
  </w:num>
  <w:num w:numId="37">
    <w:abstractNumId w:val="18"/>
  </w:num>
  <w:num w:numId="38">
    <w:abstractNumId w:val="5"/>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037"/>
    <w:rsid w:val="00006A46"/>
    <w:rsid w:val="0000786A"/>
    <w:rsid w:val="00011871"/>
    <w:rsid w:val="00012C3A"/>
    <w:rsid w:val="0002079C"/>
    <w:rsid w:val="000267AD"/>
    <w:rsid w:val="00035BEF"/>
    <w:rsid w:val="00037104"/>
    <w:rsid w:val="000376BB"/>
    <w:rsid w:val="00040A53"/>
    <w:rsid w:val="00052853"/>
    <w:rsid w:val="00054727"/>
    <w:rsid w:val="00054FA8"/>
    <w:rsid w:val="000564A5"/>
    <w:rsid w:val="000568BF"/>
    <w:rsid w:val="00060AEA"/>
    <w:rsid w:val="00077F0C"/>
    <w:rsid w:val="00080769"/>
    <w:rsid w:val="00084965"/>
    <w:rsid w:val="0008511E"/>
    <w:rsid w:val="00087B12"/>
    <w:rsid w:val="00090B0D"/>
    <w:rsid w:val="00097A4E"/>
    <w:rsid w:val="000A03A4"/>
    <w:rsid w:val="000A17CF"/>
    <w:rsid w:val="000A1905"/>
    <w:rsid w:val="000A36D7"/>
    <w:rsid w:val="000A4FF6"/>
    <w:rsid w:val="000B03BD"/>
    <w:rsid w:val="000B35E5"/>
    <w:rsid w:val="000C05BE"/>
    <w:rsid w:val="000C1EB0"/>
    <w:rsid w:val="000C570C"/>
    <w:rsid w:val="000C6C21"/>
    <w:rsid w:val="000D0B10"/>
    <w:rsid w:val="000D0D88"/>
    <w:rsid w:val="000E1DD2"/>
    <w:rsid w:val="000E4A43"/>
    <w:rsid w:val="000E51C7"/>
    <w:rsid w:val="000F0E73"/>
    <w:rsid w:val="000F1C1A"/>
    <w:rsid w:val="00100203"/>
    <w:rsid w:val="001007CD"/>
    <w:rsid w:val="00101AF6"/>
    <w:rsid w:val="00102AFA"/>
    <w:rsid w:val="00104AC7"/>
    <w:rsid w:val="0010615F"/>
    <w:rsid w:val="001063D0"/>
    <w:rsid w:val="001179C0"/>
    <w:rsid w:val="0012223F"/>
    <w:rsid w:val="00123D5E"/>
    <w:rsid w:val="00124467"/>
    <w:rsid w:val="001244DF"/>
    <w:rsid w:val="001316A1"/>
    <w:rsid w:val="0013230F"/>
    <w:rsid w:val="0014339B"/>
    <w:rsid w:val="001451C7"/>
    <w:rsid w:val="0015371B"/>
    <w:rsid w:val="001550BE"/>
    <w:rsid w:val="001555B4"/>
    <w:rsid w:val="00155BA0"/>
    <w:rsid w:val="001610D0"/>
    <w:rsid w:val="001658A3"/>
    <w:rsid w:val="00172A90"/>
    <w:rsid w:val="00173BF9"/>
    <w:rsid w:val="0017621F"/>
    <w:rsid w:val="00176539"/>
    <w:rsid w:val="00177E5D"/>
    <w:rsid w:val="00182763"/>
    <w:rsid w:val="00182C62"/>
    <w:rsid w:val="00184F11"/>
    <w:rsid w:val="001866BA"/>
    <w:rsid w:val="001875AB"/>
    <w:rsid w:val="00196D8C"/>
    <w:rsid w:val="001A4626"/>
    <w:rsid w:val="001A6D1E"/>
    <w:rsid w:val="001A71A9"/>
    <w:rsid w:val="001A71E5"/>
    <w:rsid w:val="001B5B76"/>
    <w:rsid w:val="001C0A1C"/>
    <w:rsid w:val="001C5776"/>
    <w:rsid w:val="001C77FE"/>
    <w:rsid w:val="001D1A25"/>
    <w:rsid w:val="001D7C4F"/>
    <w:rsid w:val="001E4463"/>
    <w:rsid w:val="001E47CE"/>
    <w:rsid w:val="001E5BCD"/>
    <w:rsid w:val="001F1F52"/>
    <w:rsid w:val="001F5087"/>
    <w:rsid w:val="001F6E55"/>
    <w:rsid w:val="00203533"/>
    <w:rsid w:val="0020425B"/>
    <w:rsid w:val="00210D0C"/>
    <w:rsid w:val="00211048"/>
    <w:rsid w:val="0021392C"/>
    <w:rsid w:val="00213A1F"/>
    <w:rsid w:val="0021620D"/>
    <w:rsid w:val="00216CA3"/>
    <w:rsid w:val="002232C3"/>
    <w:rsid w:val="00223633"/>
    <w:rsid w:val="002316E6"/>
    <w:rsid w:val="00231A35"/>
    <w:rsid w:val="0023362B"/>
    <w:rsid w:val="002355E9"/>
    <w:rsid w:val="00235808"/>
    <w:rsid w:val="0023774E"/>
    <w:rsid w:val="00243E50"/>
    <w:rsid w:val="00247ADA"/>
    <w:rsid w:val="00247F47"/>
    <w:rsid w:val="002566AD"/>
    <w:rsid w:val="00260DEE"/>
    <w:rsid w:val="00262FEC"/>
    <w:rsid w:val="002654A2"/>
    <w:rsid w:val="00280409"/>
    <w:rsid w:val="00290594"/>
    <w:rsid w:val="00293D58"/>
    <w:rsid w:val="00295615"/>
    <w:rsid w:val="002A037D"/>
    <w:rsid w:val="002A09C5"/>
    <w:rsid w:val="002A3760"/>
    <w:rsid w:val="002B06F6"/>
    <w:rsid w:val="002B5B34"/>
    <w:rsid w:val="002B6409"/>
    <w:rsid w:val="002B6BE7"/>
    <w:rsid w:val="002C12D0"/>
    <w:rsid w:val="002C4EED"/>
    <w:rsid w:val="002C56A6"/>
    <w:rsid w:val="002C6EA5"/>
    <w:rsid w:val="002E076B"/>
    <w:rsid w:val="002E743C"/>
    <w:rsid w:val="002E7A9F"/>
    <w:rsid w:val="00301D81"/>
    <w:rsid w:val="003073B5"/>
    <w:rsid w:val="0031732B"/>
    <w:rsid w:val="00322095"/>
    <w:rsid w:val="00323E34"/>
    <w:rsid w:val="0033006D"/>
    <w:rsid w:val="00332A1C"/>
    <w:rsid w:val="00332AD1"/>
    <w:rsid w:val="00333685"/>
    <w:rsid w:val="00334B0F"/>
    <w:rsid w:val="00335C02"/>
    <w:rsid w:val="0034100E"/>
    <w:rsid w:val="0034660F"/>
    <w:rsid w:val="00351516"/>
    <w:rsid w:val="00356E1F"/>
    <w:rsid w:val="003606C6"/>
    <w:rsid w:val="003628FA"/>
    <w:rsid w:val="00376AB8"/>
    <w:rsid w:val="00390CC2"/>
    <w:rsid w:val="00395922"/>
    <w:rsid w:val="00395CC2"/>
    <w:rsid w:val="00397D60"/>
    <w:rsid w:val="003A0C82"/>
    <w:rsid w:val="003A1255"/>
    <w:rsid w:val="003A24CA"/>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33A7"/>
    <w:rsid w:val="003F65E3"/>
    <w:rsid w:val="004030FC"/>
    <w:rsid w:val="00404D08"/>
    <w:rsid w:val="00406B23"/>
    <w:rsid w:val="00411257"/>
    <w:rsid w:val="0041139F"/>
    <w:rsid w:val="004138B4"/>
    <w:rsid w:val="0041733C"/>
    <w:rsid w:val="004176BF"/>
    <w:rsid w:val="00417B1B"/>
    <w:rsid w:val="004211CD"/>
    <w:rsid w:val="00423513"/>
    <w:rsid w:val="00423A1B"/>
    <w:rsid w:val="004247F7"/>
    <w:rsid w:val="004258D0"/>
    <w:rsid w:val="00425CBF"/>
    <w:rsid w:val="004264D3"/>
    <w:rsid w:val="00430026"/>
    <w:rsid w:val="00431286"/>
    <w:rsid w:val="00431337"/>
    <w:rsid w:val="00431571"/>
    <w:rsid w:val="0043535C"/>
    <w:rsid w:val="004436DB"/>
    <w:rsid w:val="00445A10"/>
    <w:rsid w:val="00450553"/>
    <w:rsid w:val="004517E4"/>
    <w:rsid w:val="004607C2"/>
    <w:rsid w:val="00461D59"/>
    <w:rsid w:val="0046257E"/>
    <w:rsid w:val="004628C7"/>
    <w:rsid w:val="004628D5"/>
    <w:rsid w:val="00465382"/>
    <w:rsid w:val="00484FCD"/>
    <w:rsid w:val="00487120"/>
    <w:rsid w:val="00495509"/>
    <w:rsid w:val="00495D4F"/>
    <w:rsid w:val="004A0C28"/>
    <w:rsid w:val="004A2824"/>
    <w:rsid w:val="004A3E0B"/>
    <w:rsid w:val="004A5315"/>
    <w:rsid w:val="004B13BE"/>
    <w:rsid w:val="004B794F"/>
    <w:rsid w:val="004C1FE7"/>
    <w:rsid w:val="004D3DF8"/>
    <w:rsid w:val="004D430B"/>
    <w:rsid w:val="004D5835"/>
    <w:rsid w:val="004D6BA9"/>
    <w:rsid w:val="004E55EB"/>
    <w:rsid w:val="004E6D88"/>
    <w:rsid w:val="004F1E12"/>
    <w:rsid w:val="004F4C5B"/>
    <w:rsid w:val="00500AD2"/>
    <w:rsid w:val="00501707"/>
    <w:rsid w:val="00502A1A"/>
    <w:rsid w:val="00503CA1"/>
    <w:rsid w:val="00506B23"/>
    <w:rsid w:val="00510BA1"/>
    <w:rsid w:val="00513CB2"/>
    <w:rsid w:val="005148DA"/>
    <w:rsid w:val="00517CE2"/>
    <w:rsid w:val="00517D2D"/>
    <w:rsid w:val="00520047"/>
    <w:rsid w:val="00523669"/>
    <w:rsid w:val="00523C6F"/>
    <w:rsid w:val="00524CB6"/>
    <w:rsid w:val="00527C81"/>
    <w:rsid w:val="005301DB"/>
    <w:rsid w:val="005301DC"/>
    <w:rsid w:val="00546D71"/>
    <w:rsid w:val="0055089F"/>
    <w:rsid w:val="00551E54"/>
    <w:rsid w:val="005545FB"/>
    <w:rsid w:val="00562764"/>
    <w:rsid w:val="0056484A"/>
    <w:rsid w:val="005669ED"/>
    <w:rsid w:val="00570043"/>
    <w:rsid w:val="005717D0"/>
    <w:rsid w:val="00577223"/>
    <w:rsid w:val="005818AB"/>
    <w:rsid w:val="0058246F"/>
    <w:rsid w:val="005840A9"/>
    <w:rsid w:val="005906FB"/>
    <w:rsid w:val="00590BE6"/>
    <w:rsid w:val="0059199F"/>
    <w:rsid w:val="0059673E"/>
    <w:rsid w:val="00596E7B"/>
    <w:rsid w:val="005A11A7"/>
    <w:rsid w:val="005A1937"/>
    <w:rsid w:val="005A453F"/>
    <w:rsid w:val="005A7141"/>
    <w:rsid w:val="005C358B"/>
    <w:rsid w:val="005C3AF3"/>
    <w:rsid w:val="005C3B1E"/>
    <w:rsid w:val="005C3D64"/>
    <w:rsid w:val="005C50EE"/>
    <w:rsid w:val="005D6C4F"/>
    <w:rsid w:val="005E6B01"/>
    <w:rsid w:val="005F5F67"/>
    <w:rsid w:val="0060299A"/>
    <w:rsid w:val="00603867"/>
    <w:rsid w:val="00603B9F"/>
    <w:rsid w:val="00611589"/>
    <w:rsid w:val="00615561"/>
    <w:rsid w:val="00616803"/>
    <w:rsid w:val="0062027F"/>
    <w:rsid w:val="006205CC"/>
    <w:rsid w:val="00623045"/>
    <w:rsid w:val="0062652A"/>
    <w:rsid w:val="00626A8E"/>
    <w:rsid w:val="00630FE0"/>
    <w:rsid w:val="00632BAE"/>
    <w:rsid w:val="00641A4C"/>
    <w:rsid w:val="00642786"/>
    <w:rsid w:val="0064496A"/>
    <w:rsid w:val="00653031"/>
    <w:rsid w:val="00653A8F"/>
    <w:rsid w:val="006553AB"/>
    <w:rsid w:val="006608A9"/>
    <w:rsid w:val="006608CB"/>
    <w:rsid w:val="006657B2"/>
    <w:rsid w:val="006660B2"/>
    <w:rsid w:val="00670F3E"/>
    <w:rsid w:val="006711FD"/>
    <w:rsid w:val="0067132A"/>
    <w:rsid w:val="00675D5C"/>
    <w:rsid w:val="00681260"/>
    <w:rsid w:val="00682C9C"/>
    <w:rsid w:val="00683C91"/>
    <w:rsid w:val="0068433E"/>
    <w:rsid w:val="0068681B"/>
    <w:rsid w:val="00696C6B"/>
    <w:rsid w:val="006A0D13"/>
    <w:rsid w:val="006A2F2A"/>
    <w:rsid w:val="006A3E07"/>
    <w:rsid w:val="006B0DCF"/>
    <w:rsid w:val="006B0FFE"/>
    <w:rsid w:val="006B2F8C"/>
    <w:rsid w:val="006B2FFA"/>
    <w:rsid w:val="006B4AF8"/>
    <w:rsid w:val="006B77A6"/>
    <w:rsid w:val="006C022D"/>
    <w:rsid w:val="006C601A"/>
    <w:rsid w:val="006D332E"/>
    <w:rsid w:val="006D393E"/>
    <w:rsid w:val="006D5911"/>
    <w:rsid w:val="006E031F"/>
    <w:rsid w:val="006E7195"/>
    <w:rsid w:val="006F0490"/>
    <w:rsid w:val="006F0D0A"/>
    <w:rsid w:val="006F5EC4"/>
    <w:rsid w:val="006F6072"/>
    <w:rsid w:val="006F7CDE"/>
    <w:rsid w:val="00700088"/>
    <w:rsid w:val="00710AEF"/>
    <w:rsid w:val="007127E8"/>
    <w:rsid w:val="0071479E"/>
    <w:rsid w:val="0073012A"/>
    <w:rsid w:val="007311DF"/>
    <w:rsid w:val="00731BE6"/>
    <w:rsid w:val="007349D3"/>
    <w:rsid w:val="00741037"/>
    <w:rsid w:val="00741528"/>
    <w:rsid w:val="0074610E"/>
    <w:rsid w:val="007476A0"/>
    <w:rsid w:val="00747813"/>
    <w:rsid w:val="007507A9"/>
    <w:rsid w:val="00755B18"/>
    <w:rsid w:val="0076309D"/>
    <w:rsid w:val="00763ACA"/>
    <w:rsid w:val="00764471"/>
    <w:rsid w:val="0076637C"/>
    <w:rsid w:val="007740E1"/>
    <w:rsid w:val="007777B8"/>
    <w:rsid w:val="00781269"/>
    <w:rsid w:val="00783638"/>
    <w:rsid w:val="00783CBE"/>
    <w:rsid w:val="00791331"/>
    <w:rsid w:val="007932D3"/>
    <w:rsid w:val="00794836"/>
    <w:rsid w:val="00797D23"/>
    <w:rsid w:val="007A127F"/>
    <w:rsid w:val="007A3ECE"/>
    <w:rsid w:val="007A4FE6"/>
    <w:rsid w:val="007A671F"/>
    <w:rsid w:val="007B2523"/>
    <w:rsid w:val="007B4957"/>
    <w:rsid w:val="007C0E18"/>
    <w:rsid w:val="007C1B4C"/>
    <w:rsid w:val="007C3FA9"/>
    <w:rsid w:val="007C42C0"/>
    <w:rsid w:val="007D23DA"/>
    <w:rsid w:val="007D4273"/>
    <w:rsid w:val="007D44D3"/>
    <w:rsid w:val="007D5581"/>
    <w:rsid w:val="007D619B"/>
    <w:rsid w:val="007D7637"/>
    <w:rsid w:val="007D7BBA"/>
    <w:rsid w:val="007E27A7"/>
    <w:rsid w:val="007E40C9"/>
    <w:rsid w:val="007E4261"/>
    <w:rsid w:val="007E705C"/>
    <w:rsid w:val="007F0B8B"/>
    <w:rsid w:val="007F4E5E"/>
    <w:rsid w:val="007F5045"/>
    <w:rsid w:val="007F7D0E"/>
    <w:rsid w:val="008028BD"/>
    <w:rsid w:val="00803F44"/>
    <w:rsid w:val="008056B9"/>
    <w:rsid w:val="00805755"/>
    <w:rsid w:val="00812AF1"/>
    <w:rsid w:val="00815AEC"/>
    <w:rsid w:val="0081624A"/>
    <w:rsid w:val="008200AA"/>
    <w:rsid w:val="00824369"/>
    <w:rsid w:val="00824E3D"/>
    <w:rsid w:val="00825594"/>
    <w:rsid w:val="00825D1D"/>
    <w:rsid w:val="00830A55"/>
    <w:rsid w:val="008316F6"/>
    <w:rsid w:val="0083170B"/>
    <w:rsid w:val="0083206B"/>
    <w:rsid w:val="0083583D"/>
    <w:rsid w:val="0084435D"/>
    <w:rsid w:val="00845210"/>
    <w:rsid w:val="00851EA0"/>
    <w:rsid w:val="00852B67"/>
    <w:rsid w:val="00855506"/>
    <w:rsid w:val="00856068"/>
    <w:rsid w:val="00857BC3"/>
    <w:rsid w:val="008624A2"/>
    <w:rsid w:val="00865127"/>
    <w:rsid w:val="008661B6"/>
    <w:rsid w:val="0086624B"/>
    <w:rsid w:val="00871448"/>
    <w:rsid w:val="008739FE"/>
    <w:rsid w:val="00874D02"/>
    <w:rsid w:val="00880685"/>
    <w:rsid w:val="00881F77"/>
    <w:rsid w:val="00887421"/>
    <w:rsid w:val="00897F4A"/>
    <w:rsid w:val="008B4EC6"/>
    <w:rsid w:val="008B5418"/>
    <w:rsid w:val="008C1723"/>
    <w:rsid w:val="008C1891"/>
    <w:rsid w:val="008C34D8"/>
    <w:rsid w:val="008C4891"/>
    <w:rsid w:val="008C7181"/>
    <w:rsid w:val="008D01FE"/>
    <w:rsid w:val="008D31D7"/>
    <w:rsid w:val="008D5244"/>
    <w:rsid w:val="008D584F"/>
    <w:rsid w:val="008D7648"/>
    <w:rsid w:val="008E24C3"/>
    <w:rsid w:val="008E689F"/>
    <w:rsid w:val="008F05F6"/>
    <w:rsid w:val="008F2D87"/>
    <w:rsid w:val="008F5DF1"/>
    <w:rsid w:val="008F6CFF"/>
    <w:rsid w:val="009062AF"/>
    <w:rsid w:val="0090637B"/>
    <w:rsid w:val="00910F0A"/>
    <w:rsid w:val="00911E11"/>
    <w:rsid w:val="00915366"/>
    <w:rsid w:val="00915709"/>
    <w:rsid w:val="009203F2"/>
    <w:rsid w:val="00920DAC"/>
    <w:rsid w:val="00921F86"/>
    <w:rsid w:val="00922096"/>
    <w:rsid w:val="0092572E"/>
    <w:rsid w:val="009313BB"/>
    <w:rsid w:val="00933C85"/>
    <w:rsid w:val="00934700"/>
    <w:rsid w:val="009353BE"/>
    <w:rsid w:val="009408D8"/>
    <w:rsid w:val="009411E5"/>
    <w:rsid w:val="009415F4"/>
    <w:rsid w:val="0094486F"/>
    <w:rsid w:val="00947868"/>
    <w:rsid w:val="00954020"/>
    <w:rsid w:val="0096262D"/>
    <w:rsid w:val="009627F5"/>
    <w:rsid w:val="009646CA"/>
    <w:rsid w:val="00964C6F"/>
    <w:rsid w:val="00966D2D"/>
    <w:rsid w:val="00966EB9"/>
    <w:rsid w:val="00971698"/>
    <w:rsid w:val="00972401"/>
    <w:rsid w:val="00973588"/>
    <w:rsid w:val="00974C5E"/>
    <w:rsid w:val="009801E7"/>
    <w:rsid w:val="00994564"/>
    <w:rsid w:val="00995C93"/>
    <w:rsid w:val="009A1225"/>
    <w:rsid w:val="009A7620"/>
    <w:rsid w:val="009B057A"/>
    <w:rsid w:val="009B2A63"/>
    <w:rsid w:val="009B325F"/>
    <w:rsid w:val="009B39F9"/>
    <w:rsid w:val="009B6108"/>
    <w:rsid w:val="009B6461"/>
    <w:rsid w:val="009C0503"/>
    <w:rsid w:val="009C09DF"/>
    <w:rsid w:val="009C1D9A"/>
    <w:rsid w:val="009C70CF"/>
    <w:rsid w:val="009D096A"/>
    <w:rsid w:val="009D39F4"/>
    <w:rsid w:val="009D663D"/>
    <w:rsid w:val="009E174D"/>
    <w:rsid w:val="009E3DFE"/>
    <w:rsid w:val="009F1846"/>
    <w:rsid w:val="00A0044A"/>
    <w:rsid w:val="00A018D0"/>
    <w:rsid w:val="00A111E6"/>
    <w:rsid w:val="00A15CE7"/>
    <w:rsid w:val="00A168CC"/>
    <w:rsid w:val="00A20128"/>
    <w:rsid w:val="00A2200F"/>
    <w:rsid w:val="00A229DB"/>
    <w:rsid w:val="00A254C1"/>
    <w:rsid w:val="00A25544"/>
    <w:rsid w:val="00A26BDB"/>
    <w:rsid w:val="00A31F9B"/>
    <w:rsid w:val="00A37543"/>
    <w:rsid w:val="00A401CB"/>
    <w:rsid w:val="00A416E1"/>
    <w:rsid w:val="00A41880"/>
    <w:rsid w:val="00A44EEF"/>
    <w:rsid w:val="00A45E7A"/>
    <w:rsid w:val="00A46CA8"/>
    <w:rsid w:val="00A51C5B"/>
    <w:rsid w:val="00A53D17"/>
    <w:rsid w:val="00A54E27"/>
    <w:rsid w:val="00A54F27"/>
    <w:rsid w:val="00A57DB9"/>
    <w:rsid w:val="00A64DCE"/>
    <w:rsid w:val="00A66495"/>
    <w:rsid w:val="00A676E4"/>
    <w:rsid w:val="00A70C8D"/>
    <w:rsid w:val="00A734DB"/>
    <w:rsid w:val="00A74252"/>
    <w:rsid w:val="00A7737B"/>
    <w:rsid w:val="00A775F0"/>
    <w:rsid w:val="00A8502F"/>
    <w:rsid w:val="00A86173"/>
    <w:rsid w:val="00A87712"/>
    <w:rsid w:val="00A9075B"/>
    <w:rsid w:val="00A944B3"/>
    <w:rsid w:val="00AA0405"/>
    <w:rsid w:val="00AA1742"/>
    <w:rsid w:val="00AA5B3B"/>
    <w:rsid w:val="00AA60AB"/>
    <w:rsid w:val="00AB2586"/>
    <w:rsid w:val="00AB2599"/>
    <w:rsid w:val="00AC0DC5"/>
    <w:rsid w:val="00AC1515"/>
    <w:rsid w:val="00AC23A3"/>
    <w:rsid w:val="00AC2B3C"/>
    <w:rsid w:val="00AC33DA"/>
    <w:rsid w:val="00AC3D92"/>
    <w:rsid w:val="00AC4DF2"/>
    <w:rsid w:val="00AD1532"/>
    <w:rsid w:val="00AD5077"/>
    <w:rsid w:val="00AF4925"/>
    <w:rsid w:val="00AF549D"/>
    <w:rsid w:val="00B0111B"/>
    <w:rsid w:val="00B029F4"/>
    <w:rsid w:val="00B074F2"/>
    <w:rsid w:val="00B110D7"/>
    <w:rsid w:val="00B11DFE"/>
    <w:rsid w:val="00B12268"/>
    <w:rsid w:val="00B15377"/>
    <w:rsid w:val="00B158D1"/>
    <w:rsid w:val="00B165CC"/>
    <w:rsid w:val="00B234DF"/>
    <w:rsid w:val="00B26C47"/>
    <w:rsid w:val="00B27141"/>
    <w:rsid w:val="00B3376E"/>
    <w:rsid w:val="00B44C12"/>
    <w:rsid w:val="00B505C3"/>
    <w:rsid w:val="00B51A93"/>
    <w:rsid w:val="00B51D7D"/>
    <w:rsid w:val="00B5250F"/>
    <w:rsid w:val="00B56BFA"/>
    <w:rsid w:val="00B63F21"/>
    <w:rsid w:val="00B66517"/>
    <w:rsid w:val="00B67011"/>
    <w:rsid w:val="00B7051B"/>
    <w:rsid w:val="00B70A1E"/>
    <w:rsid w:val="00B71939"/>
    <w:rsid w:val="00B72056"/>
    <w:rsid w:val="00B72CE8"/>
    <w:rsid w:val="00B76F0E"/>
    <w:rsid w:val="00B83DED"/>
    <w:rsid w:val="00B860FC"/>
    <w:rsid w:val="00B87D00"/>
    <w:rsid w:val="00B91287"/>
    <w:rsid w:val="00B93D1D"/>
    <w:rsid w:val="00B96918"/>
    <w:rsid w:val="00BA466D"/>
    <w:rsid w:val="00BA658E"/>
    <w:rsid w:val="00BB27A1"/>
    <w:rsid w:val="00BB384B"/>
    <w:rsid w:val="00BB54E4"/>
    <w:rsid w:val="00BB6162"/>
    <w:rsid w:val="00BB7FA4"/>
    <w:rsid w:val="00BC6500"/>
    <w:rsid w:val="00BD0E20"/>
    <w:rsid w:val="00BD425C"/>
    <w:rsid w:val="00BD5A87"/>
    <w:rsid w:val="00BE081B"/>
    <w:rsid w:val="00BE25BE"/>
    <w:rsid w:val="00BF3606"/>
    <w:rsid w:val="00BF66F4"/>
    <w:rsid w:val="00BF7BA9"/>
    <w:rsid w:val="00C033C4"/>
    <w:rsid w:val="00C04E08"/>
    <w:rsid w:val="00C110D4"/>
    <w:rsid w:val="00C11815"/>
    <w:rsid w:val="00C124FE"/>
    <w:rsid w:val="00C21451"/>
    <w:rsid w:val="00C21AC3"/>
    <w:rsid w:val="00C23633"/>
    <w:rsid w:val="00C24E0F"/>
    <w:rsid w:val="00C2528D"/>
    <w:rsid w:val="00C27D51"/>
    <w:rsid w:val="00C33E54"/>
    <w:rsid w:val="00C40BD7"/>
    <w:rsid w:val="00C44FD3"/>
    <w:rsid w:val="00C455CB"/>
    <w:rsid w:val="00C46CAC"/>
    <w:rsid w:val="00C50C6F"/>
    <w:rsid w:val="00C54589"/>
    <w:rsid w:val="00C55628"/>
    <w:rsid w:val="00C61BE6"/>
    <w:rsid w:val="00C6520D"/>
    <w:rsid w:val="00C66674"/>
    <w:rsid w:val="00C7218F"/>
    <w:rsid w:val="00C77963"/>
    <w:rsid w:val="00C80A0C"/>
    <w:rsid w:val="00C84C27"/>
    <w:rsid w:val="00C86C3C"/>
    <w:rsid w:val="00C934BE"/>
    <w:rsid w:val="00CA2702"/>
    <w:rsid w:val="00CA32AE"/>
    <w:rsid w:val="00CA4144"/>
    <w:rsid w:val="00CA5BA2"/>
    <w:rsid w:val="00CB0228"/>
    <w:rsid w:val="00CB1156"/>
    <w:rsid w:val="00CB1331"/>
    <w:rsid w:val="00CB16EA"/>
    <w:rsid w:val="00CB20D4"/>
    <w:rsid w:val="00CC1500"/>
    <w:rsid w:val="00CC3606"/>
    <w:rsid w:val="00CD130A"/>
    <w:rsid w:val="00CD5461"/>
    <w:rsid w:val="00CE305A"/>
    <w:rsid w:val="00CF0210"/>
    <w:rsid w:val="00CF578F"/>
    <w:rsid w:val="00CF5948"/>
    <w:rsid w:val="00D00FB8"/>
    <w:rsid w:val="00D05604"/>
    <w:rsid w:val="00D06902"/>
    <w:rsid w:val="00D105BC"/>
    <w:rsid w:val="00D11AB8"/>
    <w:rsid w:val="00D11E73"/>
    <w:rsid w:val="00D12575"/>
    <w:rsid w:val="00D12E75"/>
    <w:rsid w:val="00D14ED4"/>
    <w:rsid w:val="00D20C23"/>
    <w:rsid w:val="00D212A8"/>
    <w:rsid w:val="00D334C4"/>
    <w:rsid w:val="00D3670F"/>
    <w:rsid w:val="00D37B02"/>
    <w:rsid w:val="00D37F5E"/>
    <w:rsid w:val="00D42987"/>
    <w:rsid w:val="00D464D8"/>
    <w:rsid w:val="00D50CA3"/>
    <w:rsid w:val="00D54A2D"/>
    <w:rsid w:val="00D6058E"/>
    <w:rsid w:val="00D615F3"/>
    <w:rsid w:val="00D67BE9"/>
    <w:rsid w:val="00D719AE"/>
    <w:rsid w:val="00D84722"/>
    <w:rsid w:val="00D849A1"/>
    <w:rsid w:val="00D86E64"/>
    <w:rsid w:val="00D87FC1"/>
    <w:rsid w:val="00DA43BD"/>
    <w:rsid w:val="00DA561D"/>
    <w:rsid w:val="00DB1517"/>
    <w:rsid w:val="00DB1675"/>
    <w:rsid w:val="00DB3428"/>
    <w:rsid w:val="00DB503D"/>
    <w:rsid w:val="00DB5F8A"/>
    <w:rsid w:val="00DB641D"/>
    <w:rsid w:val="00DD46D4"/>
    <w:rsid w:val="00DD5C0B"/>
    <w:rsid w:val="00DD66D6"/>
    <w:rsid w:val="00DE2E56"/>
    <w:rsid w:val="00DE35E3"/>
    <w:rsid w:val="00DE486D"/>
    <w:rsid w:val="00DE4DB5"/>
    <w:rsid w:val="00DE5CDE"/>
    <w:rsid w:val="00E00766"/>
    <w:rsid w:val="00E00CCB"/>
    <w:rsid w:val="00E07B80"/>
    <w:rsid w:val="00E10416"/>
    <w:rsid w:val="00E146B2"/>
    <w:rsid w:val="00E21ECB"/>
    <w:rsid w:val="00E22B4C"/>
    <w:rsid w:val="00E315E8"/>
    <w:rsid w:val="00E3448A"/>
    <w:rsid w:val="00E42A31"/>
    <w:rsid w:val="00E43E30"/>
    <w:rsid w:val="00E47017"/>
    <w:rsid w:val="00E50F8F"/>
    <w:rsid w:val="00E54B17"/>
    <w:rsid w:val="00E56761"/>
    <w:rsid w:val="00E56AF6"/>
    <w:rsid w:val="00E635A3"/>
    <w:rsid w:val="00E63806"/>
    <w:rsid w:val="00E65A3F"/>
    <w:rsid w:val="00E65D49"/>
    <w:rsid w:val="00E67F4C"/>
    <w:rsid w:val="00E709EB"/>
    <w:rsid w:val="00E81507"/>
    <w:rsid w:val="00E84E02"/>
    <w:rsid w:val="00E8777E"/>
    <w:rsid w:val="00E878DA"/>
    <w:rsid w:val="00E934D1"/>
    <w:rsid w:val="00E93F69"/>
    <w:rsid w:val="00E93F74"/>
    <w:rsid w:val="00EA51E2"/>
    <w:rsid w:val="00EA76D7"/>
    <w:rsid w:val="00EA7B2A"/>
    <w:rsid w:val="00EB07EE"/>
    <w:rsid w:val="00EC0BAC"/>
    <w:rsid w:val="00EC3168"/>
    <w:rsid w:val="00ED050C"/>
    <w:rsid w:val="00ED5636"/>
    <w:rsid w:val="00EE3346"/>
    <w:rsid w:val="00EE5B9C"/>
    <w:rsid w:val="00EF0C04"/>
    <w:rsid w:val="00EF0DC6"/>
    <w:rsid w:val="00EF2D01"/>
    <w:rsid w:val="00F00132"/>
    <w:rsid w:val="00F01545"/>
    <w:rsid w:val="00F01C4F"/>
    <w:rsid w:val="00F077D0"/>
    <w:rsid w:val="00F12E11"/>
    <w:rsid w:val="00F13D0A"/>
    <w:rsid w:val="00F152B5"/>
    <w:rsid w:val="00F2000B"/>
    <w:rsid w:val="00F20053"/>
    <w:rsid w:val="00F30F6F"/>
    <w:rsid w:val="00F31477"/>
    <w:rsid w:val="00F32341"/>
    <w:rsid w:val="00F34282"/>
    <w:rsid w:val="00F36B95"/>
    <w:rsid w:val="00F36C2D"/>
    <w:rsid w:val="00F405F9"/>
    <w:rsid w:val="00F4323B"/>
    <w:rsid w:val="00F44577"/>
    <w:rsid w:val="00F55327"/>
    <w:rsid w:val="00F57C8E"/>
    <w:rsid w:val="00F60EC3"/>
    <w:rsid w:val="00F61E74"/>
    <w:rsid w:val="00F6242D"/>
    <w:rsid w:val="00F640E1"/>
    <w:rsid w:val="00F64C0B"/>
    <w:rsid w:val="00F73C6D"/>
    <w:rsid w:val="00F74BD3"/>
    <w:rsid w:val="00F9588C"/>
    <w:rsid w:val="00FB0B78"/>
    <w:rsid w:val="00FB624F"/>
    <w:rsid w:val="00FB75B2"/>
    <w:rsid w:val="00FB7956"/>
    <w:rsid w:val="00FC45D1"/>
    <w:rsid w:val="00FC5EDD"/>
    <w:rsid w:val="00FD4F82"/>
    <w:rsid w:val="00FD7BF2"/>
    <w:rsid w:val="00FD7D82"/>
    <w:rsid w:val="00FE2CC0"/>
    <w:rsid w:val="00FE53CE"/>
    <w:rsid w:val="00FF1EFF"/>
    <w:rsid w:val="00FF4F2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15"/>
    <w:rPr>
      <w:sz w:val="20"/>
      <w:szCs w:val="20"/>
    </w:rPr>
  </w:style>
  <w:style w:type="paragraph" w:styleId="Heading1">
    <w:name w:val="heading 1"/>
    <w:basedOn w:val="Normal"/>
    <w:next w:val="Normal"/>
    <w:link w:val="Heading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5D1"/>
    <w:rPr>
      <w:rFonts w:ascii="Cambria" w:hAnsi="Cambria" w:cs="Cambria"/>
      <w:b/>
      <w:bCs/>
      <w:kern w:val="32"/>
      <w:sz w:val="32"/>
      <w:szCs w:val="32"/>
    </w:rPr>
  </w:style>
  <w:style w:type="paragraph" w:styleId="Title">
    <w:name w:val="Title"/>
    <w:basedOn w:val="Normal"/>
    <w:link w:val="TitleChar"/>
    <w:uiPriority w:val="99"/>
    <w:qFormat/>
    <w:rsid w:val="004A5315"/>
    <w:pPr>
      <w:spacing w:before="480" w:after="240"/>
      <w:jc w:val="center"/>
    </w:pPr>
    <w:rPr>
      <w:rFonts w:ascii="Verdana" w:hAnsi="Verdana" w:cs="Verdana"/>
      <w:sz w:val="28"/>
      <w:szCs w:val="28"/>
    </w:rPr>
  </w:style>
  <w:style w:type="character" w:customStyle="1" w:styleId="TitleChar">
    <w:name w:val="Title Char"/>
    <w:basedOn w:val="DefaultParagraphFont"/>
    <w:link w:val="Title"/>
    <w:uiPriority w:val="99"/>
    <w:locked/>
    <w:rsid w:val="00FC45D1"/>
    <w:rPr>
      <w:rFonts w:ascii="Cambria" w:hAnsi="Cambria" w:cs="Cambria"/>
      <w:b/>
      <w:bCs/>
      <w:kern w:val="28"/>
      <w:sz w:val="32"/>
      <w:szCs w:val="32"/>
    </w:rPr>
  </w:style>
  <w:style w:type="paragraph" w:styleId="Header">
    <w:name w:val="header"/>
    <w:basedOn w:val="Normal"/>
    <w:link w:val="HeaderChar"/>
    <w:uiPriority w:val="99"/>
    <w:rsid w:val="004A5315"/>
    <w:pPr>
      <w:tabs>
        <w:tab w:val="center" w:pos="4536"/>
        <w:tab w:val="right" w:pos="9072"/>
      </w:tabs>
    </w:pPr>
  </w:style>
  <w:style w:type="character" w:customStyle="1" w:styleId="HeaderChar">
    <w:name w:val="Header Char"/>
    <w:basedOn w:val="DefaultParagraphFont"/>
    <w:link w:val="Header"/>
    <w:uiPriority w:val="99"/>
    <w:semiHidden/>
    <w:locked/>
    <w:rsid w:val="00FC45D1"/>
    <w:rPr>
      <w:sz w:val="20"/>
      <w:szCs w:val="20"/>
    </w:rPr>
  </w:style>
  <w:style w:type="paragraph" w:styleId="Footer">
    <w:name w:val="footer"/>
    <w:basedOn w:val="Normal"/>
    <w:link w:val="FooterChar"/>
    <w:uiPriority w:val="99"/>
    <w:rsid w:val="004A5315"/>
    <w:pPr>
      <w:tabs>
        <w:tab w:val="center" w:pos="4536"/>
        <w:tab w:val="right" w:pos="9072"/>
      </w:tabs>
    </w:pPr>
  </w:style>
  <w:style w:type="character" w:customStyle="1" w:styleId="FooterChar">
    <w:name w:val="Footer Char"/>
    <w:basedOn w:val="DefaultParagraphFont"/>
    <w:link w:val="Footer"/>
    <w:uiPriority w:val="99"/>
    <w:semiHidden/>
    <w:locked/>
    <w:rsid w:val="00FC45D1"/>
    <w:rPr>
      <w:sz w:val="20"/>
      <w:szCs w:val="20"/>
    </w:rPr>
  </w:style>
  <w:style w:type="character" w:styleId="PageNumber">
    <w:name w:val="page number"/>
    <w:basedOn w:val="DefaultParagraphFont"/>
    <w:uiPriority w:val="99"/>
    <w:rsid w:val="004A5315"/>
  </w:style>
  <w:style w:type="paragraph" w:styleId="Caption">
    <w:name w:val="caption"/>
    <w:basedOn w:val="Normal"/>
    <w:next w:val="Normal"/>
    <w:uiPriority w:val="99"/>
    <w:qFormat/>
    <w:rsid w:val="004A5315"/>
    <w:pPr>
      <w:spacing w:before="480" w:after="240"/>
      <w:jc w:val="center"/>
    </w:pPr>
    <w:rPr>
      <w:rFonts w:ascii="Tahoma" w:hAnsi="Tahoma" w:cs="Tahoma"/>
      <w:sz w:val="24"/>
      <w:szCs w:val="24"/>
    </w:rPr>
  </w:style>
  <w:style w:type="paragraph" w:styleId="BodyTextIndent">
    <w:name w:val="Body Text Indent"/>
    <w:aliases w:val="Char,Char Char Char Char Char,Char Char Char Char,Char Char Char Char Char Char Char Char Char Char Char,Char Char Char Char Char Char Char Char Char"/>
    <w:basedOn w:val="Normal"/>
    <w:link w:val="BodyTextIndentChar"/>
    <w:uiPriority w:val="99"/>
    <w:rsid w:val="004A5315"/>
    <w:pPr>
      <w:tabs>
        <w:tab w:val="left" w:pos="1701"/>
      </w:tabs>
      <w:spacing w:before="60"/>
      <w:ind w:left="204"/>
      <w:jc w:val="both"/>
    </w:pPr>
    <w:rPr>
      <w:rFonts w:ascii="Tahoma" w:hAnsi="Tahoma" w:cs="Tahoma"/>
    </w:rPr>
  </w:style>
  <w:style w:type="character" w:customStyle="1" w:styleId="BodyTextIndentChar">
    <w:name w:val="Body Text Indent Char"/>
    <w:aliases w:val="Char Char,Char Char Char Char Char Char,Char Char Char Char Char1,Char Char Char Char Char Char Char Char Char Char Char Char,Char Char Char Char Char Char Char Char Char Char"/>
    <w:basedOn w:val="DefaultParagraphFont"/>
    <w:link w:val="BodyTextIndent"/>
    <w:uiPriority w:val="99"/>
    <w:semiHidden/>
    <w:locked/>
    <w:rsid w:val="00FC45D1"/>
    <w:rPr>
      <w:sz w:val="20"/>
      <w:szCs w:val="20"/>
    </w:rPr>
  </w:style>
  <w:style w:type="paragraph" w:styleId="BodyTextIndent2">
    <w:name w:val="Body Text Indent 2"/>
    <w:basedOn w:val="Normal"/>
    <w:link w:val="BodyTextIndent2Char"/>
    <w:uiPriority w:val="99"/>
    <w:rsid w:val="004A5315"/>
    <w:pPr>
      <w:ind w:left="142"/>
      <w:jc w:val="both"/>
    </w:pPr>
    <w:rPr>
      <w:rFonts w:ascii="Tahoma" w:hAnsi="Tahoma" w:cs="Tahoma"/>
    </w:rPr>
  </w:style>
  <w:style w:type="character" w:customStyle="1" w:styleId="BodyTextIndent2Char">
    <w:name w:val="Body Text Indent 2 Char"/>
    <w:basedOn w:val="DefaultParagraphFont"/>
    <w:link w:val="BodyTextIndent2"/>
    <w:uiPriority w:val="99"/>
    <w:semiHidden/>
    <w:locked/>
    <w:rsid w:val="00FC45D1"/>
    <w:rPr>
      <w:sz w:val="20"/>
      <w:szCs w:val="20"/>
    </w:rPr>
  </w:style>
  <w:style w:type="character" w:styleId="Hyperlink">
    <w:name w:val="Hyperlink"/>
    <w:basedOn w:val="DefaultParagraphFont"/>
    <w:uiPriority w:val="99"/>
    <w:rsid w:val="004A5315"/>
    <w:rPr>
      <w:color w:val="0000FF"/>
      <w:u w:val="single"/>
    </w:rPr>
  </w:style>
  <w:style w:type="character" w:styleId="FollowedHyperlink">
    <w:name w:val="FollowedHyperlink"/>
    <w:basedOn w:val="DefaultParagraphFont"/>
    <w:uiPriority w:val="99"/>
    <w:rsid w:val="004A5315"/>
    <w:rPr>
      <w:color w:val="800080"/>
      <w:u w:val="single"/>
    </w:rPr>
  </w:style>
  <w:style w:type="paragraph" w:styleId="BodyTextIndent3">
    <w:name w:val="Body Text Indent 3"/>
    <w:basedOn w:val="Normal"/>
    <w:link w:val="BodyTextIndent3Char"/>
    <w:uiPriority w:val="99"/>
    <w:rsid w:val="004A531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C45D1"/>
    <w:rPr>
      <w:sz w:val="16"/>
      <w:szCs w:val="16"/>
    </w:rPr>
  </w:style>
  <w:style w:type="paragraph" w:styleId="BalloonText">
    <w:name w:val="Balloon Text"/>
    <w:basedOn w:val="Normal"/>
    <w:link w:val="BalloonTextChar"/>
    <w:uiPriority w:val="99"/>
    <w:semiHidden/>
    <w:rsid w:val="004A53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5D1"/>
    <w:rPr>
      <w:sz w:val="2"/>
      <w:szCs w:val="2"/>
    </w:rPr>
  </w:style>
  <w:style w:type="paragraph" w:styleId="NormalWeb">
    <w:name w:val="Normal (Web)"/>
    <w:basedOn w:val="Normal"/>
    <w:uiPriority w:val="99"/>
    <w:rsid w:val="004A5315"/>
    <w:pPr>
      <w:spacing w:before="100" w:beforeAutospacing="1" w:after="100" w:afterAutospacing="1"/>
    </w:pPr>
    <w:rPr>
      <w:sz w:val="24"/>
      <w:szCs w:val="24"/>
    </w:rPr>
  </w:style>
  <w:style w:type="paragraph" w:styleId="BlockText">
    <w:name w:val="Block Text"/>
    <w:basedOn w:val="Norma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basedOn w:val="DefaultParagraphFont"/>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ListBullet3">
    <w:name w:val="List Bullet 3"/>
    <w:basedOn w:val="Normal"/>
    <w:autoRedefine/>
    <w:uiPriority w:val="99"/>
    <w:rsid w:val="004A5315"/>
    <w:pPr>
      <w:keepNext/>
      <w:ind w:left="204"/>
      <w:jc w:val="both"/>
    </w:pPr>
    <w:rPr>
      <w:rFonts w:ascii="Tahoma" w:hAnsi="Tahoma" w:cs="Tahoma"/>
    </w:rPr>
  </w:style>
  <w:style w:type="character" w:customStyle="1" w:styleId="lfejChar">
    <w:name w:val="Élőfej Char"/>
    <w:basedOn w:val="DefaultParagraphFont"/>
    <w:uiPriority w:val="99"/>
    <w:rsid w:val="004A5315"/>
  </w:style>
  <w:style w:type="character" w:customStyle="1" w:styleId="CmChar">
    <w:name w:val="Cím Char"/>
    <w:basedOn w:val="DefaultParagraphFont"/>
    <w:uiPriority w:val="99"/>
    <w:rsid w:val="004A5315"/>
    <w:rPr>
      <w:rFonts w:ascii="Verdana" w:hAnsi="Verdana" w:cs="Verdana"/>
      <w:snapToGrid w:val="0"/>
      <w:sz w:val="28"/>
      <w:szCs w:val="28"/>
    </w:rPr>
  </w:style>
  <w:style w:type="character" w:customStyle="1" w:styleId="Szvegtrzsbehzssal2Char">
    <w:name w:val="Szövegtörzs behúzással 2 Char"/>
    <w:basedOn w:val="DefaultParagraphFont"/>
    <w:uiPriority w:val="99"/>
    <w:rsid w:val="004A5315"/>
    <w:rPr>
      <w:rFonts w:ascii="Tahoma" w:hAnsi="Tahoma" w:cs="Tahoma"/>
      <w:snapToGrid w:val="0"/>
    </w:rPr>
  </w:style>
  <w:style w:type="character" w:styleId="FootnoteReference">
    <w:name w:val="footnote reference"/>
    <w:basedOn w:val="DefaultParagraphFont"/>
    <w:uiPriority w:val="99"/>
    <w:semiHidden/>
    <w:rsid w:val="00417B1B"/>
    <w:rPr>
      <w:vertAlign w:val="superscript"/>
    </w:rPr>
  </w:style>
  <w:style w:type="paragraph" w:styleId="ListParagraph">
    <w:name w:val="List Paragraph"/>
    <w:basedOn w:val="Normal"/>
    <w:uiPriority w:val="99"/>
    <w:qFormat/>
    <w:rsid w:val="00D20C23"/>
    <w:pPr>
      <w:ind w:left="720"/>
    </w:pPr>
  </w:style>
  <w:style w:type="paragraph" w:styleId="FootnoteText">
    <w:name w:val="footnote text"/>
    <w:basedOn w:val="Normal"/>
    <w:link w:val="FootnoteTextChar"/>
    <w:uiPriority w:val="99"/>
    <w:semiHidden/>
    <w:rsid w:val="004264D3"/>
  </w:style>
  <w:style w:type="character" w:customStyle="1" w:styleId="FootnoteTextChar">
    <w:name w:val="Footnote Text Char"/>
    <w:basedOn w:val="DefaultParagraphFont"/>
    <w:link w:val="FootnoteText"/>
    <w:uiPriority w:val="99"/>
    <w:locked/>
    <w:rsid w:val="00426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ha.europa.eu/candidate-list-tabl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2179</Words>
  <Characters>15038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Kurucz</cp:lastModifiedBy>
  <cp:revision>4</cp:revision>
  <cp:lastPrinted>2016-02-09T15:44:00Z</cp:lastPrinted>
  <dcterms:created xsi:type="dcterms:W3CDTF">2019-01-27T18:44:00Z</dcterms:created>
  <dcterms:modified xsi:type="dcterms:W3CDTF">2019-01-27T18:46:00Z</dcterms:modified>
</cp:coreProperties>
</file>