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B0" w:rsidRPr="00747A04" w:rsidRDefault="00B446B0" w:rsidP="005C3D64">
      <w:pPr>
        <w:pStyle w:val="Title"/>
        <w:tabs>
          <w:tab w:val="left" w:pos="2552"/>
          <w:tab w:val="left" w:pos="3686"/>
        </w:tabs>
        <w:spacing w:before="40" w:after="40"/>
        <w:rPr>
          <w:rFonts w:ascii="Tahoma" w:hAnsi="Tahoma" w:cs="Tahoma"/>
          <w:b/>
          <w:bCs/>
          <w:spacing w:val="40"/>
          <w:sz w:val="32"/>
          <w:szCs w:val="32"/>
        </w:rPr>
      </w:pPr>
      <w:r w:rsidRPr="00747A04">
        <w:rPr>
          <w:rFonts w:ascii="Tahoma" w:hAnsi="Tahoma" w:cs="Tahoma"/>
          <w:b/>
          <w:bCs/>
          <w:spacing w:val="40"/>
          <w:sz w:val="32"/>
          <w:szCs w:val="32"/>
        </w:rPr>
        <w:t>BIZTONSÁGI ADATLAP</w:t>
      </w:r>
    </w:p>
    <w:p w:rsidR="00B446B0" w:rsidRPr="00B82D10" w:rsidRDefault="00B446B0" w:rsidP="005301DC">
      <w:pPr>
        <w:pStyle w:val="Title"/>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rsidR="00B446B0" w:rsidRPr="00B82D10" w:rsidRDefault="00B446B0"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rsidR="00B446B0" w:rsidRPr="00B82D10" w:rsidRDefault="00B446B0"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r>
        <w:rPr>
          <w:rFonts w:ascii="Tahoma" w:hAnsi="Tahoma" w:cs="Tahoma"/>
          <w:b/>
          <w:bCs/>
          <w:snapToGrid w:val="0"/>
          <w:sz w:val="28"/>
          <w:szCs w:val="28"/>
        </w:rPr>
        <w:t>Lorilux mosógél – Color &amp; Power</w:t>
      </w:r>
    </w:p>
    <w:p w:rsidR="00B446B0" w:rsidRPr="00B82D10" w:rsidRDefault="00B446B0"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4 liter, 1,5 liter</w:t>
      </w:r>
    </w:p>
    <w:p w:rsidR="00B446B0" w:rsidRDefault="00B446B0"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w:t>
      </w:r>
      <w:r>
        <w:rPr>
          <w:rFonts w:ascii="Tahoma" w:hAnsi="Tahoma" w:cs="Tahoma"/>
          <w:snapToGrid w:val="0"/>
        </w:rPr>
        <w:t>mosószer – kézi és gépi mosáshoz</w:t>
      </w:r>
    </w:p>
    <w:p w:rsidR="00B446B0" w:rsidRPr="00B82D10" w:rsidRDefault="00B446B0"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rsidR="00B446B0" w:rsidRPr="00B82D10" w:rsidRDefault="00B446B0"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rsidR="00B446B0" w:rsidRPr="00B82D10" w:rsidRDefault="00B446B0"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rsidR="00B446B0" w:rsidRPr="00B82D10" w:rsidRDefault="00B446B0" w:rsidP="005C50EE">
      <w:pPr>
        <w:tabs>
          <w:tab w:val="left" w:pos="1985"/>
        </w:tabs>
        <w:ind w:left="426"/>
        <w:rPr>
          <w:rFonts w:ascii="Tahoma" w:hAnsi="Tahoma" w:cs="Tahoma"/>
        </w:rPr>
      </w:pPr>
      <w:r w:rsidRPr="00B82D10">
        <w:rPr>
          <w:rFonts w:ascii="Tahoma" w:hAnsi="Tahoma" w:cs="Tahoma"/>
        </w:rPr>
        <w:t>H-3333 Terpes, Petőfi út 2 – 4.</w:t>
      </w:r>
    </w:p>
    <w:p w:rsidR="00B446B0" w:rsidRPr="00B82D10" w:rsidRDefault="00B446B0" w:rsidP="005C50EE">
      <w:pPr>
        <w:tabs>
          <w:tab w:val="left" w:pos="1985"/>
        </w:tabs>
        <w:ind w:left="426"/>
        <w:rPr>
          <w:rFonts w:ascii="Tahoma" w:hAnsi="Tahoma" w:cs="Tahoma"/>
        </w:rPr>
      </w:pPr>
      <w:r w:rsidRPr="00B82D10">
        <w:rPr>
          <w:rFonts w:ascii="Tahoma" w:hAnsi="Tahoma" w:cs="Tahoma"/>
        </w:rPr>
        <w:t>Telefon: +36 36 561 310</w:t>
      </w:r>
    </w:p>
    <w:p w:rsidR="00B446B0" w:rsidRPr="00B82D10" w:rsidRDefault="00B446B0"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yperlink"/>
            <w:rFonts w:ascii="Tahoma" w:hAnsi="Tahoma" w:cs="Tahoma"/>
          </w:rPr>
          <w:t>www.gironde.hu</w:t>
        </w:r>
      </w:hyperlink>
    </w:p>
    <w:p w:rsidR="00B446B0" w:rsidRPr="00B82D10" w:rsidRDefault="00B446B0"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yperlink"/>
            <w:rFonts w:ascii="Tahoma" w:hAnsi="Tahoma" w:cs="Tahoma"/>
            <w:snapToGrid w:val="0"/>
          </w:rPr>
          <w:t>info@gironde.hu</w:t>
        </w:r>
      </w:hyperlink>
    </w:p>
    <w:p w:rsidR="00B446B0" w:rsidRPr="00B82D10" w:rsidRDefault="00B446B0"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rsidR="00B446B0" w:rsidRPr="00B82D10" w:rsidRDefault="00B446B0"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rsidR="00B446B0" w:rsidRPr="00B82D10" w:rsidRDefault="00B446B0"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rsidR="00B446B0" w:rsidRPr="00B82D10" w:rsidRDefault="00B446B0"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rsidR="00B446B0" w:rsidRPr="006E78A6" w:rsidRDefault="00B446B0" w:rsidP="006E78A6">
      <w:pPr>
        <w:jc w:val="both"/>
        <w:rPr>
          <w:rFonts w:ascii="Tahoma" w:hAnsi="Tahoma" w:cs="Tahoma"/>
          <w:b/>
          <w:bCs/>
        </w:rPr>
      </w:pPr>
      <w:bookmarkStart w:id="0"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rsidR="00B446B0" w:rsidRPr="000B6119" w:rsidRDefault="00B446B0" w:rsidP="00C31AEE">
      <w:pPr>
        <w:spacing w:before="60"/>
        <w:jc w:val="both"/>
        <w:rPr>
          <w:rFonts w:ascii="Tahoma" w:hAnsi="Tahoma" w:cs="Tahoma"/>
          <w:b/>
          <w:bCs/>
        </w:rPr>
      </w:pPr>
      <w:r w:rsidRPr="000B6119">
        <w:rPr>
          <w:rFonts w:ascii="Tahoma" w:hAnsi="Tahoma" w:cs="Tahoma"/>
          <w:b/>
          <w:bCs/>
        </w:rPr>
        <w:t>Osztályozása:</w:t>
      </w:r>
    </w:p>
    <w:p w:rsidR="00B446B0" w:rsidRPr="006E78A6" w:rsidRDefault="00B446B0"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rsidR="00B446B0" w:rsidRPr="006E78A6" w:rsidRDefault="00B446B0"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rsidR="00B446B0" w:rsidRPr="006E78A6" w:rsidRDefault="00B446B0"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rsidR="00B446B0" w:rsidRPr="006E78A6" w:rsidRDefault="00B446B0" w:rsidP="006E78A6">
      <w:pPr>
        <w:spacing w:before="120"/>
        <w:rPr>
          <w:rFonts w:ascii="Tahoma" w:hAnsi="Tahoma" w:cs="Tahoma"/>
          <w:b/>
          <w:bCs/>
        </w:rPr>
      </w:pPr>
      <w:r w:rsidRPr="006E78A6">
        <w:rPr>
          <w:rFonts w:ascii="Tahoma" w:hAnsi="Tahoma" w:cs="Tahoma"/>
          <w:b/>
          <w:bCs/>
        </w:rPr>
        <w:t>2.2. Címkézési elemek</w:t>
      </w:r>
    </w:p>
    <w:p w:rsidR="00B446B0" w:rsidRPr="006E78A6" w:rsidRDefault="00B446B0"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rsidR="00B446B0" w:rsidRPr="006E78A6" w:rsidRDefault="00B446B0"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rsidR="00B446B0" w:rsidRPr="00F60296" w:rsidRDefault="00B446B0" w:rsidP="00F60296">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rsidR="00B446B0" w:rsidRPr="00B82D10" w:rsidRDefault="00B446B0"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rsidR="00B446B0" w:rsidRDefault="00B446B0"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rsidR="00B446B0" w:rsidRPr="00B82D10" w:rsidRDefault="00B446B0" w:rsidP="000064AE">
      <w:pPr>
        <w:tabs>
          <w:tab w:val="left" w:pos="666"/>
          <w:tab w:val="left" w:pos="1134"/>
          <w:tab w:val="left" w:pos="4395"/>
        </w:tabs>
        <w:ind w:firstLine="567"/>
        <w:rPr>
          <w:rFonts w:ascii="Tahoma" w:hAnsi="Tahoma" w:cs="Tahoma"/>
          <w:snapToGrid w:val="0"/>
        </w:rPr>
      </w:pPr>
      <w:r w:rsidRPr="00FC43CA">
        <w:rPr>
          <w:rFonts w:ascii="Tahoma" w:hAnsi="Tahoma" w:cs="Tahoma"/>
          <w:snapToGrid w:val="0"/>
        </w:rPr>
        <w:t>P103</w:t>
      </w:r>
      <w:r w:rsidRPr="00F56C3F">
        <w:rPr>
          <w:rFonts w:ascii="Tahoma" w:hAnsi="Tahoma" w:cs="Tahoma"/>
          <w:snapToGrid w:val="0"/>
        </w:rPr>
        <w:tab/>
        <w:t>Használat előtt olvassa el a címkén közölt információkat</w:t>
      </w:r>
      <w:r>
        <w:rPr>
          <w:rFonts w:ascii="Tahoma" w:hAnsi="Tahoma" w:cs="Tahoma"/>
          <w:snapToGrid w:val="0"/>
        </w:rPr>
        <w:t>.</w:t>
      </w:r>
    </w:p>
    <w:p w:rsidR="00B446B0" w:rsidRDefault="00B446B0"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p w:rsidR="00B446B0" w:rsidRPr="00B82D10" w:rsidRDefault="00B446B0" w:rsidP="00767B88">
      <w:pPr>
        <w:spacing w:after="40"/>
        <w:ind w:left="2410" w:hanging="1843"/>
        <w:jc w:val="both"/>
        <w:rPr>
          <w:rFonts w:ascii="Tahoma" w:hAnsi="Tahoma" w:cs="Tahoma"/>
          <w:snapToGrid w:val="0"/>
        </w:rPr>
      </w:pPr>
      <w:r>
        <w:rPr>
          <w:rFonts w:ascii="Tahoma" w:hAnsi="Tahoma" w:cs="Tahoma"/>
          <w:snapToGrid w:val="0"/>
        </w:rPr>
        <w:t xml:space="preserve">P401 Tárolás: +5 </w:t>
      </w:r>
      <w:r>
        <w:rPr>
          <w:rFonts w:ascii="Tahoma" w:hAnsi="Tahoma" w:cs="Tahoma"/>
          <w:snapToGrid w:val="0"/>
        </w:rPr>
        <w:sym w:font="Symbol" w:char="F0B0"/>
      </w:r>
      <w:r>
        <w:rPr>
          <w:rFonts w:ascii="Tahoma" w:hAnsi="Tahoma" w:cs="Tahoma"/>
          <w:snapToGrid w:val="0"/>
        </w:rPr>
        <w:t>C feletti hőmérsékleten.</w:t>
      </w:r>
    </w:p>
    <w:bookmarkEnd w:id="0"/>
    <w:p w:rsidR="00B446B0" w:rsidRPr="000064AE" w:rsidRDefault="00B446B0"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Pr>
          <w:rFonts w:ascii="Tahoma" w:hAnsi="Tahoma" w:cs="Tahoma"/>
          <w:snapToGrid w:val="0"/>
        </w:rPr>
        <w:t xml:space="preserve"> &lt;5</w:t>
      </w:r>
      <w:r w:rsidRPr="00BA0B05">
        <w:rPr>
          <w:rFonts w:ascii="Tahoma" w:hAnsi="Tahoma" w:cs="Tahoma"/>
          <w:snapToGrid w:val="0"/>
        </w:rPr>
        <w:t>% anionos felületaktív anyagok,</w:t>
      </w:r>
      <w:r>
        <w:rPr>
          <w:rFonts w:ascii="Tahoma" w:hAnsi="Tahoma" w:cs="Tahoma"/>
          <w:snapToGrid w:val="0"/>
        </w:rPr>
        <w:br/>
        <w:t xml:space="preserve">&lt;5% </w:t>
      </w:r>
      <w:r w:rsidRPr="000064AE">
        <w:rPr>
          <w:rFonts w:ascii="Tahoma" w:hAnsi="Tahoma" w:cs="Tahoma"/>
          <w:snapToGrid w:val="0"/>
        </w:rPr>
        <w:t>nemionos felületaktív anyag</w:t>
      </w:r>
      <w:r>
        <w:rPr>
          <w:rFonts w:ascii="Tahoma" w:hAnsi="Tahoma" w:cs="Tahoma"/>
          <w:snapToGrid w:val="0"/>
        </w:rPr>
        <w:t xml:space="preserve">, Parfum </w:t>
      </w:r>
      <w:r w:rsidRPr="00A855C9">
        <w:rPr>
          <w:rFonts w:ascii="Tahoma" w:hAnsi="Tahoma" w:cs="Tahoma"/>
          <w:snapToGrid w:val="0"/>
        </w:rPr>
        <w:t>(</w:t>
      </w:r>
      <w:r>
        <w:rPr>
          <w:rFonts w:ascii="Tahoma" w:hAnsi="Tahoma" w:cs="Tahoma"/>
          <w:snapToGrid w:val="0"/>
        </w:rPr>
        <w:t>Citronellol, Hexyl Cinnamal, Alpha Isomethyl Ionon</w:t>
      </w:r>
      <w:r w:rsidRPr="00A855C9">
        <w:rPr>
          <w:rFonts w:ascii="Tahoma" w:hAnsi="Tahoma" w:cs="Tahoma"/>
          <w:snapToGrid w:val="0"/>
        </w:rPr>
        <w:t>)</w:t>
      </w:r>
      <w:r>
        <w:rPr>
          <w:rFonts w:ascii="Tahoma" w:hAnsi="Tahoma" w:cs="Tahoma"/>
          <w:snapToGrid w:val="0"/>
        </w:rPr>
        <w:t>, Benzyl Alcohol, Colorant (CI 42090)</w:t>
      </w:r>
      <w:r w:rsidRPr="000064AE">
        <w:rPr>
          <w:rFonts w:ascii="Tahoma" w:hAnsi="Tahoma" w:cs="Tahoma"/>
          <w:snapToGrid w:val="0"/>
        </w:rPr>
        <w:t xml:space="preserve">. </w:t>
      </w:r>
    </w:p>
    <w:p w:rsidR="00B446B0" w:rsidRDefault="00B446B0" w:rsidP="00E66D76">
      <w:pPr>
        <w:spacing w:before="80"/>
        <w:jc w:val="both"/>
        <w:rPr>
          <w:rFonts w:ascii="Tahoma" w:hAnsi="Tahoma" w:cs="Tahoma"/>
          <w:b/>
          <w:bCs/>
          <w:snapToGrid w:val="0"/>
        </w:rPr>
      </w:pPr>
      <w:r w:rsidRPr="00BA0B05">
        <w:rPr>
          <w:rFonts w:ascii="Tahoma" w:hAnsi="Tahoma" w:cs="Tahoma"/>
          <w:b/>
          <w:bCs/>
          <w:snapToGrid w:val="0"/>
        </w:rPr>
        <w:t>2.3. Egyéb veszélyek</w:t>
      </w:r>
    </w:p>
    <w:p w:rsidR="00B446B0" w:rsidRPr="00B82D10" w:rsidRDefault="00B446B0"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yperlink"/>
            <w:rFonts w:ascii="Tahoma" w:hAnsi="Tahoma" w:cs="Tahoma"/>
            <w:snapToGrid w:val="0"/>
          </w:rPr>
          <w:t>http://echa.europa.eu/candidate-list-table</w:t>
        </w:r>
      </w:hyperlink>
    </w:p>
    <w:p w:rsidR="00B446B0" w:rsidRPr="00B82D10" w:rsidRDefault="00B446B0"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rsidR="00B446B0" w:rsidRPr="00B82D10" w:rsidRDefault="00B446B0"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3. szakasz: Összetétel vagy az összetevőkre vonatkozó információk</w:t>
      </w:r>
    </w:p>
    <w:p w:rsidR="00B446B0" w:rsidRPr="00B82D10" w:rsidRDefault="00B446B0"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rsidR="00B446B0" w:rsidRPr="00B82D10" w:rsidRDefault="00B446B0"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rsidR="00B446B0" w:rsidRPr="00B82D10" w:rsidRDefault="00B446B0"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966"/>
        <w:gridCol w:w="1276"/>
        <w:gridCol w:w="3686"/>
      </w:tblGrid>
      <w:tr w:rsidR="00B446B0" w:rsidRPr="00B82D10">
        <w:trPr>
          <w:cantSplit/>
          <w:trHeight w:val="335"/>
          <w:jc w:val="center"/>
        </w:trPr>
        <w:tc>
          <w:tcPr>
            <w:tcW w:w="3966" w:type="dxa"/>
            <w:vAlign w:val="center"/>
          </w:tcPr>
          <w:p w:rsidR="00B446B0" w:rsidRPr="00B82D10" w:rsidRDefault="00B446B0"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rsidR="00B446B0" w:rsidRPr="00B82D10" w:rsidRDefault="00B446B0"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rsidR="00B446B0" w:rsidRPr="00B82D10" w:rsidRDefault="00B446B0"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B446B0" w:rsidRPr="00B82D10">
        <w:trPr>
          <w:cantSplit/>
          <w:trHeight w:val="335"/>
          <w:jc w:val="center"/>
        </w:trPr>
        <w:tc>
          <w:tcPr>
            <w:tcW w:w="3966" w:type="dxa"/>
            <w:vAlign w:val="center"/>
          </w:tcPr>
          <w:p w:rsidR="00B446B0" w:rsidRPr="005C267D" w:rsidRDefault="00B446B0" w:rsidP="006519FE">
            <w:pPr>
              <w:tabs>
                <w:tab w:val="left" w:pos="2063"/>
              </w:tabs>
              <w:spacing w:before="40"/>
              <w:ind w:left="142" w:right="62"/>
              <w:rPr>
                <w:rFonts w:ascii="Tahoma" w:hAnsi="Tahoma" w:cs="Tahoma"/>
                <w:spacing w:val="-2"/>
                <w:sz w:val="18"/>
                <w:szCs w:val="18"/>
              </w:rPr>
            </w:pPr>
            <w:bookmarkStart w:id="1"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etoxilált, szulfát, nátrium sók</w:t>
            </w:r>
            <w:bookmarkEnd w:id="1"/>
            <w:r w:rsidRPr="005C267D">
              <w:rPr>
                <w:rFonts w:ascii="Tahoma" w:hAnsi="Tahoma" w:cs="Tahoma"/>
                <w:spacing w:val="-2"/>
                <w:sz w:val="18"/>
                <w:szCs w:val="18"/>
              </w:rPr>
              <w:t>*</w:t>
            </w:r>
          </w:p>
          <w:p w:rsidR="00B446B0" w:rsidRPr="00B82D10" w:rsidRDefault="00B446B0"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rsidR="00B446B0" w:rsidRPr="00B82D10" w:rsidRDefault="00B446B0" w:rsidP="00B62925">
            <w:pPr>
              <w:spacing w:before="20"/>
              <w:ind w:left="11"/>
              <w:jc w:val="center"/>
              <w:rPr>
                <w:rFonts w:ascii="Tahoma" w:hAnsi="Tahoma" w:cs="Tahoma"/>
                <w:snapToGrid w:val="0"/>
                <w:sz w:val="18"/>
                <w:szCs w:val="18"/>
              </w:rPr>
            </w:pPr>
            <w:r w:rsidRPr="00D373E5">
              <w:rPr>
                <w:rFonts w:ascii="Tahoma" w:hAnsi="Tahoma" w:cs="Tahoma"/>
                <w:snapToGrid w:val="0"/>
                <w:sz w:val="18"/>
                <w:szCs w:val="18"/>
              </w:rPr>
              <w:t>&lt;</w:t>
            </w:r>
            <w:r>
              <w:rPr>
                <w:rFonts w:ascii="Tahoma" w:hAnsi="Tahoma" w:cs="Tahoma"/>
                <w:snapToGrid w:val="0"/>
                <w:sz w:val="18"/>
                <w:szCs w:val="18"/>
              </w:rPr>
              <w:t>1</w:t>
            </w:r>
            <w:r w:rsidRPr="00D373E5">
              <w:rPr>
                <w:rFonts w:ascii="Tahoma" w:hAnsi="Tahoma" w:cs="Tahoma"/>
                <w:snapToGrid w:val="0"/>
                <w:sz w:val="18"/>
                <w:szCs w:val="18"/>
              </w:rPr>
              <w:t>%</w:t>
            </w:r>
          </w:p>
        </w:tc>
        <w:tc>
          <w:tcPr>
            <w:tcW w:w="3686" w:type="dxa"/>
            <w:vAlign w:val="center"/>
          </w:tcPr>
          <w:p w:rsidR="00B446B0" w:rsidRPr="00D373E5" w:rsidRDefault="00B446B0"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rsidR="00B446B0" w:rsidRDefault="00B446B0"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rsidR="00B446B0" w:rsidRPr="00B82D10" w:rsidRDefault="00B446B0"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ha a c (5 – 10%), akkor Eye Irrit. 2, H319</w:t>
            </w:r>
          </w:p>
        </w:tc>
      </w:tr>
      <w:tr w:rsidR="00B446B0" w:rsidRPr="00B82D10">
        <w:trPr>
          <w:cantSplit/>
          <w:trHeight w:val="335"/>
          <w:jc w:val="center"/>
        </w:trPr>
        <w:tc>
          <w:tcPr>
            <w:tcW w:w="3966" w:type="dxa"/>
            <w:vAlign w:val="center"/>
          </w:tcPr>
          <w:p w:rsidR="00B446B0" w:rsidRPr="00662397" w:rsidRDefault="00B446B0"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10-13</w:t>
            </w:r>
            <w:r w:rsidRPr="00662397">
              <w:rPr>
                <w:rFonts w:ascii="Tahoma" w:hAnsi="Tahoma" w:cs="Tahoma"/>
                <w:sz w:val="18"/>
                <w:szCs w:val="18"/>
              </w:rPr>
              <w:t>)-benzolszulfonátok</w:t>
            </w:r>
            <w:bookmarkStart w:id="2" w:name="_Hlk104593816"/>
            <w:r w:rsidRPr="005C267D">
              <w:rPr>
                <w:rFonts w:ascii="Tahoma" w:hAnsi="Tahoma" w:cs="Tahoma"/>
                <w:spacing w:val="-2"/>
                <w:sz w:val="18"/>
                <w:szCs w:val="18"/>
              </w:rPr>
              <w:t>*</w:t>
            </w:r>
            <w:bookmarkStart w:id="3" w:name="_Hlk42761543"/>
            <w:r w:rsidRPr="005C267D">
              <w:rPr>
                <w:rFonts w:ascii="Tahoma" w:hAnsi="Tahoma" w:cs="Tahoma"/>
                <w:spacing w:val="-2"/>
                <w:sz w:val="18"/>
                <w:szCs w:val="18"/>
              </w:rPr>
              <w:t>*</w:t>
            </w:r>
            <w:bookmarkEnd w:id="2"/>
            <w:bookmarkEnd w:id="3"/>
          </w:p>
          <w:p w:rsidR="00B446B0" w:rsidRPr="00D373E5" w:rsidRDefault="00B446B0"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rsidR="00B446B0" w:rsidRDefault="00B446B0" w:rsidP="00B62925">
            <w:pPr>
              <w:spacing w:before="20"/>
              <w:ind w:left="11"/>
              <w:jc w:val="center"/>
              <w:rPr>
                <w:rFonts w:ascii="Tahoma" w:hAnsi="Tahoma" w:cs="Tahoma"/>
                <w:snapToGrid w:val="0"/>
                <w:sz w:val="18"/>
                <w:szCs w:val="18"/>
              </w:rPr>
            </w:pPr>
            <w:r>
              <w:rPr>
                <w:rFonts w:ascii="Tahoma" w:hAnsi="Tahoma" w:cs="Tahoma"/>
                <w:snapToGrid w:val="0"/>
                <w:sz w:val="18"/>
                <w:szCs w:val="18"/>
              </w:rPr>
              <w:t>2-6</w:t>
            </w:r>
            <w:r w:rsidRPr="00D373E5">
              <w:rPr>
                <w:rFonts w:ascii="Tahoma" w:hAnsi="Tahoma" w:cs="Tahoma"/>
                <w:snapToGrid w:val="0"/>
                <w:sz w:val="18"/>
                <w:szCs w:val="18"/>
              </w:rPr>
              <w:t>%</w:t>
            </w:r>
          </w:p>
        </w:tc>
        <w:tc>
          <w:tcPr>
            <w:tcW w:w="3686" w:type="dxa"/>
            <w:vAlign w:val="center"/>
          </w:tcPr>
          <w:p w:rsidR="00B446B0" w:rsidRDefault="00B446B0"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r w:rsidRPr="00FF3DC2">
              <w:rPr>
                <w:rFonts w:ascii="Tahoma" w:hAnsi="Tahoma" w:cs="Tahoma"/>
                <w:snapToGrid w:val="0"/>
                <w:sz w:val="18"/>
                <w:szCs w:val="18"/>
              </w:rPr>
              <w:br/>
              <w:t xml:space="preserve">Skin </w:t>
            </w:r>
            <w:r>
              <w:rPr>
                <w:rFonts w:ascii="Tahoma" w:hAnsi="Tahoma" w:cs="Tahoma"/>
                <w:snapToGrid w:val="0"/>
                <w:sz w:val="18"/>
                <w:szCs w:val="18"/>
              </w:rPr>
              <w:t xml:space="preserve">Irrit.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Eye </w:t>
            </w:r>
            <w:r>
              <w:rPr>
                <w:rFonts w:ascii="Tahoma" w:hAnsi="Tahoma" w:cs="Tahoma"/>
                <w:snapToGrid w:val="0"/>
                <w:sz w:val="18"/>
                <w:szCs w:val="18"/>
              </w:rPr>
              <w:t>Irrit. 2, H319;</w:t>
            </w:r>
          </w:p>
          <w:p w:rsidR="00B446B0" w:rsidRPr="00D373E5" w:rsidRDefault="00B446B0" w:rsidP="00554B90">
            <w:pPr>
              <w:spacing w:after="40"/>
              <w:ind w:left="142"/>
              <w:rPr>
                <w:rFonts w:ascii="Tahoma" w:hAnsi="Tahoma" w:cs="Tahoma"/>
                <w:snapToGrid w:val="0"/>
                <w:sz w:val="18"/>
                <w:szCs w:val="18"/>
              </w:rPr>
            </w:pPr>
            <w:r>
              <w:rPr>
                <w:rFonts w:ascii="Tahoma" w:hAnsi="Tahoma" w:cs="Tahoma"/>
                <w:snapToGrid w:val="0"/>
                <w:sz w:val="18"/>
                <w:szCs w:val="18"/>
              </w:rPr>
              <w:t>Aquatic Chronic 3, H412</w:t>
            </w:r>
          </w:p>
        </w:tc>
      </w:tr>
    </w:tbl>
    <w:p w:rsidR="00B446B0" w:rsidRPr="001B2BD6" w:rsidRDefault="00B446B0" w:rsidP="00662397">
      <w:pPr>
        <w:pStyle w:val="FootnoteText"/>
        <w:tabs>
          <w:tab w:val="left" w:pos="426"/>
        </w:tabs>
        <w:spacing w:before="40"/>
        <w:ind w:left="425" w:hanging="425"/>
        <w:jc w:val="both"/>
        <w:rPr>
          <w:rFonts w:ascii="Tahoma" w:hAnsi="Tahoma" w:cs="Tahoma"/>
          <w:sz w:val="18"/>
          <w:szCs w:val="18"/>
        </w:rPr>
      </w:pPr>
      <w:bookmarkStart w:id="4"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nátrium-alkil(C</w:t>
      </w:r>
      <w:r w:rsidRPr="00F00898">
        <w:rPr>
          <w:rFonts w:ascii="Tahoma" w:hAnsi="Tahoma" w:cs="Tahoma"/>
          <w:sz w:val="18"/>
          <w:szCs w:val="18"/>
          <w:vertAlign w:val="subscript"/>
        </w:rPr>
        <w:t>12-14</w:t>
      </w:r>
      <w:r>
        <w:rPr>
          <w:rFonts w:ascii="Tahoma" w:hAnsi="Tahoma" w:cs="Tahoma"/>
          <w:sz w:val="18"/>
          <w:szCs w:val="18"/>
        </w:rPr>
        <w:t xml:space="preserve">)-szulfát, etoxilált,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rsidR="00B446B0" w:rsidRPr="001B2BD6" w:rsidRDefault="00B446B0" w:rsidP="00850938">
      <w:pPr>
        <w:pStyle w:val="FootnoteText"/>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10-13</w:t>
      </w:r>
      <w:r w:rsidRPr="001B2BD6">
        <w:rPr>
          <w:rFonts w:ascii="Tahoma" w:hAnsi="Tahoma" w:cs="Tahoma"/>
          <w:sz w:val="18"/>
          <w:szCs w:val="18"/>
        </w:rPr>
        <w:t>)-benzolszulfonsav és nátrium-hidroxid reakcióterméke</w:t>
      </w:r>
      <w:r>
        <w:rPr>
          <w:rFonts w:ascii="Tahoma" w:hAnsi="Tahoma" w:cs="Tahoma"/>
          <w:sz w:val="18"/>
          <w:szCs w:val="18"/>
        </w:rPr>
        <w:t>, a só harmonizált uniós osztályozással nem rendelkezik.</w:t>
      </w:r>
    </w:p>
    <w:bookmarkEnd w:id="4"/>
    <w:p w:rsidR="00B446B0" w:rsidRPr="00B33A4F" w:rsidRDefault="00B446B0" w:rsidP="00850938">
      <w:pPr>
        <w:pStyle w:val="BodyTextIndent"/>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rsidR="00B446B0" w:rsidRPr="00B33A4F" w:rsidRDefault="00B446B0"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rsidR="00B446B0" w:rsidRPr="00B33A4F" w:rsidRDefault="00B446B0"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rsidR="00B446B0" w:rsidRPr="00B82D10" w:rsidRDefault="00B446B0" w:rsidP="007B0828">
      <w:pPr>
        <w:jc w:val="both"/>
        <w:rPr>
          <w:rFonts w:ascii="Tahoma" w:hAnsi="Tahoma" w:cs="Tahoma"/>
          <w:b/>
          <w:bCs/>
        </w:rPr>
      </w:pPr>
      <w:bookmarkStart w:id="5" w:name="_Hlk37686138"/>
      <w:r w:rsidRPr="00B82D10">
        <w:rPr>
          <w:rFonts w:ascii="Tahoma" w:hAnsi="Tahoma" w:cs="Tahoma"/>
          <w:b/>
          <w:bCs/>
        </w:rPr>
        <w:t>4.1. Az elsősegély-nyújtási intézkedések ismertetése</w:t>
      </w:r>
    </w:p>
    <w:p w:rsidR="00B446B0" w:rsidRDefault="00B446B0"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rsidR="00B446B0" w:rsidRDefault="00B446B0"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rsidR="00B446B0" w:rsidRPr="00554B90" w:rsidRDefault="00B446B0"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5"/>
    <w:p w:rsidR="00B446B0" w:rsidRPr="00B82D10" w:rsidRDefault="00B446B0"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rsidR="00B446B0" w:rsidRPr="00414BF0" w:rsidRDefault="00B446B0" w:rsidP="00AA0B74">
      <w:pPr>
        <w:spacing w:before="60"/>
        <w:jc w:val="both"/>
        <w:rPr>
          <w:rFonts w:ascii="Tahoma" w:hAnsi="Tahoma" w:cs="Tahoma"/>
        </w:rPr>
      </w:pPr>
      <w:bookmarkStart w:id="6"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6"/>
    <w:p w:rsidR="00B446B0" w:rsidRPr="004E532E" w:rsidRDefault="00B446B0"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rsidR="00B446B0" w:rsidRPr="004E532E" w:rsidRDefault="00B446B0"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rsidR="00B446B0" w:rsidRPr="00FF3DC2" w:rsidRDefault="00B446B0"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rsidR="00B446B0" w:rsidRDefault="00B446B0"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rsidR="00B446B0" w:rsidRPr="00B82D10" w:rsidRDefault="00B446B0"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rsidR="00B446B0" w:rsidRPr="00B82D10" w:rsidRDefault="00B446B0"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5. szakasz: Tűzvédelmi intézkedések</w:t>
      </w:r>
    </w:p>
    <w:p w:rsidR="00B446B0" w:rsidRPr="00B82D10" w:rsidRDefault="00B446B0"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rsidR="00B446B0" w:rsidRPr="00414BF0" w:rsidRDefault="00B446B0"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rsidR="00B446B0" w:rsidRPr="00B82D10" w:rsidRDefault="00B446B0"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rsidR="00B446B0" w:rsidRPr="00B82D10" w:rsidRDefault="00B446B0"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rsidR="00B446B0" w:rsidRPr="00B82D10" w:rsidRDefault="00B446B0" w:rsidP="007B0828">
      <w:pPr>
        <w:jc w:val="both"/>
        <w:rPr>
          <w:rFonts w:ascii="Tahoma" w:hAnsi="Tahoma" w:cs="Tahoma"/>
          <w:snapToGrid w:val="0"/>
        </w:rPr>
      </w:pPr>
      <w:r w:rsidRPr="00B82D10">
        <w:rPr>
          <w:rFonts w:ascii="Tahoma" w:hAnsi="Tahoma" w:cs="Tahoma"/>
          <w:snapToGrid w:val="0"/>
        </w:rPr>
        <w:t>Hűtsük vízpermettel a tárolóedényzetet.</w:t>
      </w:r>
    </w:p>
    <w:p w:rsidR="00B446B0" w:rsidRPr="00B82D10" w:rsidRDefault="00B446B0"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rsidR="00B446B0" w:rsidRPr="00B82D10" w:rsidRDefault="00B446B0"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rsidR="00B446B0" w:rsidRPr="00B82D10" w:rsidRDefault="00B446B0"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rsidR="00B446B0" w:rsidRPr="00B82D10" w:rsidRDefault="00B446B0"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rsidR="00B446B0" w:rsidRPr="00B82D10" w:rsidRDefault="00B446B0"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rsidR="00B446B0" w:rsidRPr="00B82D10" w:rsidRDefault="00B446B0" w:rsidP="0055322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rsidR="00B446B0" w:rsidRPr="00B82D10" w:rsidRDefault="00B446B0"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rsidR="00B446B0" w:rsidRPr="00B82D10" w:rsidRDefault="00B446B0"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rsidR="00B446B0" w:rsidRPr="00B82D10" w:rsidRDefault="00B446B0"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rsidR="00B446B0" w:rsidRPr="00B82D10" w:rsidRDefault="00B446B0"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rsidR="00B446B0" w:rsidRPr="00B82D10" w:rsidRDefault="00B446B0"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rsidR="00B446B0" w:rsidRPr="00B82D10" w:rsidRDefault="00B446B0"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rsidR="00B446B0" w:rsidRPr="00B82D10" w:rsidRDefault="00B446B0"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rsidR="00B446B0" w:rsidRDefault="00B446B0" w:rsidP="006C2FC8">
      <w:pPr>
        <w:tabs>
          <w:tab w:val="left" w:pos="1701"/>
        </w:tabs>
        <w:spacing w:before="60"/>
        <w:jc w:val="both"/>
        <w:rPr>
          <w:rFonts w:ascii="Tahoma" w:hAnsi="Tahoma" w:cs="Tahoma"/>
          <w:snapToGrid w:val="0"/>
        </w:rPr>
      </w:pPr>
      <w:bookmarkStart w:id="7" w:name="_Hlk104661254"/>
      <w:r w:rsidRPr="00B82D10">
        <w:rPr>
          <w:rFonts w:ascii="Tahoma" w:hAnsi="Tahoma" w:cs="Tahoma"/>
          <w:b/>
          <w:bCs/>
          <w:snapToGrid w:val="0"/>
        </w:rPr>
        <w:t>7.2. Tárolás:</w:t>
      </w:r>
      <w:r w:rsidRPr="00B82D10">
        <w:rPr>
          <w:rFonts w:ascii="Tahoma" w:hAnsi="Tahoma" w:cs="Tahoma"/>
          <w:snapToGrid w:val="0"/>
        </w:rPr>
        <w:t xml:space="preserve"> Eredeti tárolóedényzetében, hűvös helyen, élelmiszerektől, italoktól és takarmányoktól távol tárolandó.</w:t>
      </w:r>
    </w:p>
    <w:p w:rsidR="00B446B0" w:rsidRDefault="00B446B0"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rsidR="00B446B0" w:rsidRPr="00B82D10" w:rsidRDefault="00B446B0"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rsidR="00B446B0" w:rsidRDefault="00B446B0"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mosószer</w:t>
      </w:r>
      <w:r w:rsidRPr="00B82D10">
        <w:rPr>
          <w:rFonts w:ascii="Tahoma" w:hAnsi="Tahoma" w:cs="Tahoma"/>
        </w:rPr>
        <w:t xml:space="preserve">. </w:t>
      </w:r>
    </w:p>
    <w:p w:rsidR="00B446B0" w:rsidRPr="00B82D10" w:rsidRDefault="00B446B0"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7"/>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rsidR="00B446B0" w:rsidRPr="00EE75E1" w:rsidRDefault="00B446B0" w:rsidP="005F65F7">
      <w:pPr>
        <w:jc w:val="both"/>
        <w:rPr>
          <w:rFonts w:ascii="Tahoma" w:hAnsi="Tahoma" w:cs="Tahoma"/>
          <w:b/>
          <w:bCs/>
          <w:snapToGrid w:val="0"/>
        </w:rPr>
      </w:pPr>
      <w:r w:rsidRPr="00EE75E1">
        <w:rPr>
          <w:rFonts w:ascii="Tahoma" w:hAnsi="Tahoma" w:cs="Tahoma"/>
          <w:b/>
          <w:bCs/>
          <w:snapToGrid w:val="0"/>
        </w:rPr>
        <w:t>8.1. Ellenőrzési paraméterek</w:t>
      </w:r>
    </w:p>
    <w:p w:rsidR="00B446B0" w:rsidRPr="00EE75E1" w:rsidRDefault="00B446B0"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rsidR="00B446B0" w:rsidRPr="00EE75E1" w:rsidRDefault="00B446B0"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rsidR="00B446B0" w:rsidRPr="00EE75E1" w:rsidRDefault="00B446B0" w:rsidP="00EE75E1">
      <w:pPr>
        <w:spacing w:before="60"/>
        <w:jc w:val="both"/>
        <w:rPr>
          <w:rFonts w:ascii="Tahoma" w:hAnsi="Tahoma" w:cs="Tahoma"/>
          <w:b/>
          <w:bCs/>
          <w:snapToGrid w:val="0"/>
        </w:rPr>
      </w:pPr>
      <w:r w:rsidRPr="00EE75E1">
        <w:rPr>
          <w:rFonts w:ascii="Tahoma" w:hAnsi="Tahoma" w:cs="Tahoma"/>
          <w:b/>
          <w:bCs/>
          <w:snapToGrid w:val="0"/>
        </w:rPr>
        <w:t>Műszaki intézkedések</w:t>
      </w:r>
    </w:p>
    <w:p w:rsidR="00B446B0" w:rsidRPr="00EE75E1" w:rsidRDefault="00B446B0" w:rsidP="00EE75E1">
      <w:pPr>
        <w:numPr>
          <w:ilvl w:val="0"/>
          <w:numId w:val="2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rsidR="00B446B0" w:rsidRPr="00EE75E1" w:rsidRDefault="00B446B0" w:rsidP="00EE75E1">
      <w:pPr>
        <w:numPr>
          <w:ilvl w:val="0"/>
          <w:numId w:val="2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rsidR="00B446B0" w:rsidRPr="00EE75E1" w:rsidRDefault="00B446B0" w:rsidP="00EE75E1">
      <w:pPr>
        <w:spacing w:before="60"/>
        <w:jc w:val="both"/>
        <w:rPr>
          <w:rFonts w:ascii="Tahoma" w:hAnsi="Tahoma" w:cs="Tahoma"/>
          <w:snapToGrid w:val="0"/>
        </w:rPr>
      </w:pPr>
      <w:r w:rsidRPr="00EE75E1">
        <w:rPr>
          <w:rFonts w:ascii="Tahoma" w:hAnsi="Tahoma" w:cs="Tahoma"/>
          <w:b/>
          <w:bCs/>
          <w:snapToGrid w:val="0"/>
        </w:rPr>
        <w:t>Higiéniai intézkedések</w:t>
      </w:r>
    </w:p>
    <w:p w:rsidR="00B446B0" w:rsidRPr="00EE75E1" w:rsidRDefault="00B446B0" w:rsidP="00EE75E1">
      <w:pPr>
        <w:numPr>
          <w:ilvl w:val="0"/>
          <w:numId w:val="2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rsidR="00B446B0" w:rsidRPr="00EE75E1" w:rsidRDefault="00B446B0" w:rsidP="00EE75E1">
      <w:pPr>
        <w:numPr>
          <w:ilvl w:val="0"/>
          <w:numId w:val="2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rsidR="00B446B0" w:rsidRPr="00EE75E1" w:rsidRDefault="00B446B0" w:rsidP="00850938">
      <w:pPr>
        <w:pageBreakBefore/>
        <w:spacing w:before="60"/>
        <w:jc w:val="both"/>
        <w:rPr>
          <w:rFonts w:ascii="Tahoma" w:hAnsi="Tahoma" w:cs="Tahoma"/>
          <w:b/>
          <w:bCs/>
          <w:snapToGrid w:val="0"/>
        </w:rPr>
      </w:pPr>
      <w:r w:rsidRPr="00EE75E1">
        <w:rPr>
          <w:rFonts w:ascii="Tahoma" w:hAnsi="Tahoma" w:cs="Tahoma"/>
          <w:b/>
          <w:bCs/>
          <w:snapToGrid w:val="0"/>
        </w:rPr>
        <w:t>Személyi védőfelszerelések</w:t>
      </w:r>
    </w:p>
    <w:p w:rsidR="00B446B0" w:rsidRPr="00EE75E1" w:rsidRDefault="00B446B0" w:rsidP="00DE2BB3">
      <w:pPr>
        <w:numPr>
          <w:ilvl w:val="0"/>
          <w:numId w:val="2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rsidR="00B446B0" w:rsidRPr="00D57388" w:rsidRDefault="00B446B0" w:rsidP="00E44AB5">
      <w:pPr>
        <w:pStyle w:val="BodyTextIndent"/>
        <w:numPr>
          <w:ilvl w:val="0"/>
          <w:numId w:val="2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rsidR="00B446B0" w:rsidRPr="00D57388" w:rsidRDefault="00B446B0" w:rsidP="00E44AB5">
      <w:pPr>
        <w:pStyle w:val="BodyTextIndent"/>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mentesítésnél, stb.</w:t>
      </w:r>
    </w:p>
    <w:p w:rsidR="00B446B0" w:rsidRDefault="00B446B0" w:rsidP="00E44AB5">
      <w:pPr>
        <w:numPr>
          <w:ilvl w:val="0"/>
          <w:numId w:val="2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rsidR="00B446B0" w:rsidRPr="00850938" w:rsidRDefault="00B446B0"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8" w:name="_Hlk104646149"/>
    </w:p>
    <w:bookmarkEnd w:id="8"/>
    <w:p w:rsidR="00B446B0" w:rsidRPr="00EE75E1" w:rsidRDefault="00B446B0"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rsidR="00B446B0" w:rsidRPr="00B82D10" w:rsidRDefault="00B446B0"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rsidR="00B446B0" w:rsidRPr="00B82D10" w:rsidRDefault="00B446B0"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kék</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Szag:</w:t>
      </w:r>
      <w:r w:rsidRPr="00B82D10">
        <w:rPr>
          <w:rFonts w:ascii="Tahoma" w:hAnsi="Tahoma" w:cs="Tahoma"/>
          <w:snapToGrid w:val="0"/>
        </w:rPr>
        <w:tab/>
      </w:r>
      <w:r>
        <w:rPr>
          <w:rFonts w:ascii="Tahoma" w:hAnsi="Tahoma" w:cs="Tahoma"/>
          <w:snapToGrid w:val="0"/>
        </w:rPr>
        <w:t>a termékre jellemző</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rsidR="00B446B0" w:rsidRPr="00B82D10" w:rsidRDefault="00B446B0"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rsidR="00B446B0" w:rsidRPr="00B82D10" w:rsidRDefault="00B446B0"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rsidR="00B446B0" w:rsidRDefault="00B446B0"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rsidR="00B446B0" w:rsidRDefault="00B446B0"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rsidR="00B446B0" w:rsidRPr="00B82D10" w:rsidRDefault="00B446B0"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rsidR="00B446B0" w:rsidRDefault="00B446B0"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rsidR="00B446B0" w:rsidRPr="00B82D10" w:rsidRDefault="00B446B0"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6 – 9</w:t>
      </w:r>
    </w:p>
    <w:p w:rsidR="00B446B0" w:rsidRDefault="00B446B0"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viszkózus, kifolyási idő: min. 45 sec 2</w:t>
      </w:r>
      <w:r w:rsidRPr="00B82D10">
        <w:rPr>
          <w:rFonts w:ascii="Tahoma" w:hAnsi="Tahoma" w:cs="Tahoma"/>
          <w:snapToGrid w:val="0"/>
        </w:rPr>
        <w:t>0°C-on</w:t>
      </w:r>
    </w:p>
    <w:p w:rsidR="00B446B0" w:rsidRPr="00B82D10" w:rsidRDefault="00B446B0"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rsidR="00B446B0" w:rsidRPr="00B82D10" w:rsidRDefault="00B446B0"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rsidR="00B446B0" w:rsidRPr="00B82D10" w:rsidRDefault="00B446B0"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rsidR="00B446B0" w:rsidRDefault="00B446B0"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B446B0" w:rsidRDefault="00B446B0"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rsidR="00B446B0" w:rsidRPr="00B82D10" w:rsidRDefault="00B446B0"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rsidR="00B446B0" w:rsidRPr="00B82D10" w:rsidRDefault="00B446B0"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rsidR="00B446B0" w:rsidRPr="00B82D10" w:rsidRDefault="00B446B0"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rsidR="00B446B0" w:rsidRPr="00B82D10" w:rsidRDefault="00B446B0"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rsidR="00B446B0" w:rsidRPr="00B82D10" w:rsidRDefault="00B446B0"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rsidR="00B446B0" w:rsidRPr="00B82D10" w:rsidRDefault="00B446B0"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rsidR="00B446B0" w:rsidRPr="00B82D10" w:rsidRDefault="00B446B0"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rsidR="00B446B0" w:rsidRPr="00E21831" w:rsidRDefault="00B446B0"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rsidR="00B446B0" w:rsidRPr="00E21831" w:rsidRDefault="00B446B0"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rsidR="00B446B0" w:rsidRPr="00E21831" w:rsidRDefault="00B446B0"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rsidR="00B446B0" w:rsidRPr="00E21831" w:rsidRDefault="00B446B0"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rsidR="00B446B0" w:rsidRPr="00E21831" w:rsidRDefault="00B446B0"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rsidR="00B446B0" w:rsidRDefault="00B446B0"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rsidR="00B446B0" w:rsidRPr="00B82D10" w:rsidRDefault="00B446B0"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11. szakasz: Toxikológiai információk</w:t>
      </w:r>
    </w:p>
    <w:p w:rsidR="00B446B0" w:rsidRPr="00B82D10" w:rsidRDefault="00B446B0"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rsidR="00B446B0" w:rsidRPr="00E21831" w:rsidRDefault="00B446B0" w:rsidP="00E21831">
      <w:pPr>
        <w:spacing w:before="40"/>
        <w:jc w:val="both"/>
        <w:rPr>
          <w:rFonts w:ascii="Tahoma" w:hAnsi="Tahoma" w:cs="Tahoma"/>
          <w:snapToGrid w:val="0"/>
          <w:color w:val="000000"/>
        </w:rPr>
      </w:pPr>
      <w:r w:rsidRPr="00E21831">
        <w:rPr>
          <w:rFonts w:ascii="Tahoma" w:hAnsi="Tahoma" w:cs="Tahoma"/>
          <w:b/>
          <w:bCs/>
          <w:snapToGrid w:val="0"/>
          <w:color w:val="000000"/>
        </w:rPr>
        <w:t>Akut toxicitás (orális, dermális, inhalációs):</w:t>
      </w:r>
      <w:r w:rsidRPr="00E21831">
        <w:rPr>
          <w:rFonts w:ascii="Tahoma" w:hAnsi="Tahoma" w:cs="Tahoma"/>
          <w:snapToGrid w:val="0"/>
          <w:color w:val="000000"/>
        </w:rPr>
        <w:t xml:space="preserve"> a keverékre a becsült ATE</w:t>
      </w:r>
      <w:r w:rsidRPr="00E21831">
        <w:rPr>
          <w:rFonts w:ascii="Tahoma" w:hAnsi="Tahoma" w:cs="Tahoma"/>
          <w:snapToGrid w:val="0"/>
          <w:color w:val="000000"/>
          <w:vertAlign w:val="subscript"/>
        </w:rPr>
        <w:t>mix</w:t>
      </w:r>
      <w:r w:rsidRPr="00E21831">
        <w:rPr>
          <w:rFonts w:ascii="Tahoma" w:hAnsi="Tahoma" w:cs="Tahoma"/>
          <w:snapToGrid w:val="0"/>
          <w:color w:val="000000"/>
        </w:rPr>
        <w:t xml:space="preserve"> értékek alapján az akut toxicitási veszélyességi osztályokba sorolás kritériumai nem teljesülnek.</w:t>
      </w:r>
    </w:p>
    <w:p w:rsidR="00B446B0" w:rsidRPr="00E21831" w:rsidRDefault="00B446B0"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rsidR="00B446B0" w:rsidRPr="00E44AB5" w:rsidRDefault="00B446B0" w:rsidP="00BA3615">
      <w:pPr>
        <w:tabs>
          <w:tab w:val="left" w:pos="2063"/>
        </w:tabs>
        <w:autoSpaceDE w:val="0"/>
        <w:autoSpaceDN w:val="0"/>
        <w:adjustRightInd w:val="0"/>
        <w:spacing w:before="60"/>
        <w:jc w:val="both"/>
        <w:rPr>
          <w:rFonts w:ascii="Tahoma" w:hAnsi="Tahoma" w:cs="Tahoma"/>
        </w:rPr>
      </w:pPr>
      <w:bookmarkStart w:id="9" w:name="_Hlk104645302"/>
      <w:bookmarkStart w:id="10"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etoxilált, szulfát, nátrium sók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9"/>
    <w:p w:rsidR="00B446B0" w:rsidRPr="00E21831" w:rsidRDefault="00B446B0" w:rsidP="00E21831">
      <w:pPr>
        <w:pStyle w:val="BodyTextIndent"/>
        <w:spacing w:before="40"/>
        <w:ind w:left="0"/>
        <w:rPr>
          <w:snapToGrid w:val="0"/>
        </w:rPr>
      </w:pPr>
      <w:r w:rsidRPr="00E21831">
        <w:rPr>
          <w:b/>
          <w:bCs/>
          <w:snapToGrid w:val="0"/>
        </w:rPr>
        <w:t>Légzőszervi- és bőrszenzibilizáció:</w:t>
      </w:r>
      <w:r w:rsidRPr="00E21831">
        <w:rPr>
          <w:snapToGrid w:val="0"/>
        </w:rPr>
        <w:t xml:space="preserve"> osztályozás kritériumai </w:t>
      </w:r>
      <w:r>
        <w:rPr>
          <w:snapToGrid w:val="0"/>
        </w:rPr>
        <w:t>nem teljesülnek</w:t>
      </w:r>
      <w:r w:rsidRPr="00E21831">
        <w:rPr>
          <w:snapToGrid w:val="0"/>
        </w:rPr>
        <w:t>.</w:t>
      </w:r>
    </w:p>
    <w:p w:rsidR="00B446B0" w:rsidRPr="00E608EB" w:rsidRDefault="00B446B0"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rsidR="00B446B0" w:rsidRPr="00E608EB" w:rsidRDefault="00B446B0" w:rsidP="00E21831">
      <w:pPr>
        <w:pStyle w:val="BodyTextIndent"/>
        <w:spacing w:before="40"/>
        <w:ind w:left="0"/>
      </w:pPr>
      <w:r w:rsidRPr="00E608EB">
        <w:rPr>
          <w:b/>
          <w:bCs/>
        </w:rPr>
        <w:t>Csírasejt-mutagenitás:</w:t>
      </w:r>
      <w:r w:rsidRPr="00E608EB">
        <w:t xml:space="preserve"> a termék nem tartalmaz mutagénként osztályozott összetevőt.</w:t>
      </w:r>
    </w:p>
    <w:p w:rsidR="00B446B0" w:rsidRPr="00E608EB" w:rsidRDefault="00B446B0" w:rsidP="00E21831">
      <w:pPr>
        <w:pStyle w:val="BodyTextIndent"/>
        <w:spacing w:before="40"/>
        <w:ind w:left="0"/>
      </w:pPr>
      <w:r w:rsidRPr="00E608EB">
        <w:rPr>
          <w:b/>
          <w:bCs/>
        </w:rPr>
        <w:t>Reprodukciós toxicitás:</w:t>
      </w:r>
      <w:r w:rsidRPr="00E608EB">
        <w:t xml:space="preserve"> a termék nem tartalmaz reprodukciós toxicitást okozó összetevőt.</w:t>
      </w:r>
    </w:p>
    <w:p w:rsidR="00B446B0" w:rsidRPr="00E21831" w:rsidRDefault="00B446B0"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rsidR="00B446B0" w:rsidRPr="00E21831" w:rsidRDefault="00B446B0"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rsidR="00B446B0" w:rsidRPr="00E21831" w:rsidRDefault="00B446B0"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0"/>
    <w:p w:rsidR="00B446B0" w:rsidRPr="00B82D10" w:rsidRDefault="00B446B0" w:rsidP="000A406B">
      <w:pPr>
        <w:pStyle w:val="BodyTextIndent"/>
        <w:spacing w:before="80"/>
        <w:ind w:left="0"/>
      </w:pPr>
      <w:r w:rsidRPr="00B82D10">
        <w:rPr>
          <w:b/>
          <w:bCs/>
        </w:rPr>
        <w:t>11.2. Egyéb veszélyekkel kapcsolatos információ:</w:t>
      </w:r>
      <w:r w:rsidRPr="00B82D10">
        <w:t xml:space="preserve"> nem áll rendelkezésre.</w:t>
      </w:r>
    </w:p>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rsidR="00B446B0" w:rsidRPr="00E608EB" w:rsidRDefault="00B446B0" w:rsidP="00E608EB">
      <w:pPr>
        <w:jc w:val="both"/>
        <w:rPr>
          <w:rFonts w:ascii="Tahoma" w:hAnsi="Tahoma" w:cs="Tahoma"/>
          <w:snapToGrid w:val="0"/>
        </w:rPr>
      </w:pPr>
      <w:bookmarkStart w:id="11"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1"/>
    </w:p>
    <w:p w:rsidR="00B446B0" w:rsidRPr="000836BD" w:rsidRDefault="00B446B0"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 biológiailag könnyen lebonthatóak,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rsidR="00B446B0" w:rsidRPr="000836BD" w:rsidRDefault="00B446B0" w:rsidP="00E608EB">
      <w:pPr>
        <w:tabs>
          <w:tab w:val="left" w:pos="2268"/>
        </w:tabs>
        <w:spacing w:before="40"/>
        <w:jc w:val="both"/>
        <w:rPr>
          <w:rFonts w:ascii="Tahoma" w:hAnsi="Tahoma" w:cs="Tahoma"/>
          <w:snapToGrid w:val="0"/>
        </w:rPr>
      </w:pPr>
      <w:r w:rsidRPr="000836BD">
        <w:rPr>
          <w:rFonts w:ascii="Tahoma" w:hAnsi="Tahoma" w:cs="Tahoma"/>
          <w:b/>
          <w:bCs/>
          <w:snapToGrid w:val="0"/>
        </w:rPr>
        <w:t>12.3. Bioakkumulációs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valószínűsíthetően nem bioakkumulatívak a megoszlási hányadosuk és a rendelkezésre álló biokoncentrációs faktorok alapján. </w:t>
      </w:r>
    </w:p>
    <w:p w:rsidR="00B446B0" w:rsidRPr="00E608EB" w:rsidRDefault="00B446B0"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rsidR="00B446B0" w:rsidRPr="00DF0949" w:rsidRDefault="00B446B0"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z összetevők valószínűsítethetően nem tekinthetők perzisztens, bioakkumulatív és toxikus anyagnak, illetve nagyon perzisztens és nagyon bioakkumulatív anyagnak.</w:t>
      </w:r>
    </w:p>
    <w:p w:rsidR="00B446B0" w:rsidRPr="00B82D10" w:rsidRDefault="00B446B0"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rsidR="00B446B0" w:rsidRPr="00B82D10" w:rsidRDefault="00B446B0"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rsidR="00B446B0" w:rsidRPr="00B82D10" w:rsidRDefault="00B446B0"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rsidR="00B446B0" w:rsidRDefault="00B446B0"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rsidR="00B446B0" w:rsidRPr="00B82D10" w:rsidRDefault="00B446B0"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rsidR="00B446B0" w:rsidRPr="00B82D10" w:rsidRDefault="00B446B0"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rsidR="00B446B0" w:rsidRPr="00B82D10" w:rsidRDefault="00B446B0"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rsidR="00B446B0" w:rsidRPr="00B82D10" w:rsidRDefault="00B446B0" w:rsidP="00E66BDF">
      <w:pPr>
        <w:pStyle w:val="BodyTextIndent"/>
        <w:ind w:left="0"/>
      </w:pPr>
      <w:r w:rsidRPr="00B82D10">
        <w:t>A csomagolási hulladékkal kapcsolatos hulladékgazdálkodási tevékenységet a 442/2012. (XII. 29.) Kormányrendelet szabályozza.</w:t>
      </w:r>
    </w:p>
    <w:p w:rsidR="00B446B0" w:rsidRPr="00B82D10" w:rsidRDefault="00B446B0"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14. szakasz: Szállításra vonatkozó információk</w:t>
      </w:r>
    </w:p>
    <w:p w:rsidR="00B446B0" w:rsidRPr="00E608EB" w:rsidRDefault="00B446B0"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rsidR="00B446B0" w:rsidRPr="00E608EB" w:rsidRDefault="00B446B0"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rsidR="00B446B0" w:rsidRPr="00E608EB" w:rsidRDefault="00B446B0"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rsidR="00B446B0" w:rsidRPr="00E608EB" w:rsidRDefault="00B446B0"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rsidR="00B446B0" w:rsidRPr="00E608EB" w:rsidRDefault="00B446B0"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rsidR="00B446B0" w:rsidRPr="00E608EB" w:rsidRDefault="00B446B0"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rsidR="00B446B0" w:rsidRPr="00E608EB" w:rsidRDefault="00B446B0"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rsidR="00B446B0" w:rsidRPr="00E608EB" w:rsidRDefault="00B446B0"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rsidR="00B446B0" w:rsidRPr="00B82D10" w:rsidRDefault="00B446B0" w:rsidP="00B26C47">
      <w:pPr>
        <w:pStyle w:val="BodyTextIndent"/>
        <w:ind w:left="0"/>
        <w:rPr>
          <w:b/>
          <w:bCs/>
        </w:rPr>
      </w:pPr>
      <w:r w:rsidRPr="00B82D10">
        <w:rPr>
          <w:b/>
          <w:bCs/>
        </w:rPr>
        <w:t>15.1. A keverékkel kapcsolatos biztonsági, egészségügyi és környezetvédelmi előírások/jogszabályok</w:t>
      </w:r>
    </w:p>
    <w:p w:rsidR="00B446B0" w:rsidRPr="00B82D10" w:rsidRDefault="00B446B0" w:rsidP="00B72CE8">
      <w:pPr>
        <w:pStyle w:val="BodyTextIndent"/>
        <w:widowControl w:val="0"/>
        <w:spacing w:before="40"/>
        <w:ind w:left="0"/>
      </w:pPr>
      <w:r w:rsidRPr="00B82D10">
        <w:t>A termék nem tartalmaz különös aggodalomra okot adó (SVHC) anyagot.</w:t>
      </w:r>
    </w:p>
    <w:p w:rsidR="00B446B0" w:rsidRPr="00B82D10" w:rsidRDefault="00B446B0" w:rsidP="00D369CD">
      <w:pPr>
        <w:pStyle w:val="BodyTextIndent"/>
        <w:widowControl w:val="0"/>
        <w:spacing w:before="0"/>
        <w:ind w:left="0"/>
      </w:pPr>
      <w:r w:rsidRPr="00B82D10">
        <w:t>A termék nem tartalmaz a REACH XIV. és XVII. mellékletében listázott anyagot.</w:t>
      </w:r>
    </w:p>
    <w:p w:rsidR="00B446B0" w:rsidRPr="00B82D10" w:rsidRDefault="00B446B0" w:rsidP="00D369CD">
      <w:pPr>
        <w:pStyle w:val="BodyTextIndent"/>
        <w:widowControl w:val="0"/>
        <w:spacing w:before="0"/>
        <w:ind w:left="0"/>
      </w:pPr>
      <w:r w:rsidRPr="00B82D10">
        <w:t>A termék nem tartalmaz ózonréteg károsító anyagot.</w:t>
      </w:r>
    </w:p>
    <w:p w:rsidR="00B446B0" w:rsidRPr="00B82D10" w:rsidRDefault="00B446B0" w:rsidP="007F3082">
      <w:pPr>
        <w:pStyle w:val="BodyTextIndent"/>
        <w:keepNext/>
        <w:widowControl w:val="0"/>
        <w:spacing w:before="100"/>
        <w:ind w:left="0"/>
        <w:rPr>
          <w:b/>
          <w:bCs/>
        </w:rPr>
      </w:pPr>
      <w:bookmarkStart w:id="12" w:name="_Hlk104664967"/>
      <w:r w:rsidRPr="00B82D10">
        <w:rPr>
          <w:b/>
          <w:bCs/>
        </w:rPr>
        <w:t xml:space="preserve">Vonatkozó </w:t>
      </w:r>
      <w:r>
        <w:rPr>
          <w:b/>
          <w:bCs/>
        </w:rPr>
        <w:t>uniós</w:t>
      </w:r>
      <w:r w:rsidRPr="00B82D10">
        <w:rPr>
          <w:b/>
          <w:bCs/>
        </w:rPr>
        <w:t xml:space="preserve"> joganyagok</w:t>
      </w:r>
    </w:p>
    <w:bookmarkEnd w:id="12"/>
    <w:p w:rsidR="00B446B0" w:rsidRPr="00B82D10" w:rsidRDefault="00B446B0" w:rsidP="007F3082">
      <w:pPr>
        <w:pStyle w:val="BodyTextIndent"/>
        <w:spacing w:before="0"/>
        <w:ind w:left="0"/>
      </w:pPr>
      <w:r w:rsidRPr="00B82D10">
        <w:t>Tisztítószer-rendelet: 648/2004/EK és módosításai</w:t>
      </w:r>
    </w:p>
    <w:p w:rsidR="00B446B0" w:rsidRPr="00B82D10" w:rsidRDefault="00B446B0" w:rsidP="00547B67">
      <w:pPr>
        <w:jc w:val="both"/>
        <w:rPr>
          <w:rFonts w:ascii="Tahoma" w:hAnsi="Tahoma" w:cs="Tahoma"/>
          <w:snapToGrid w:val="0"/>
        </w:rPr>
      </w:pPr>
      <w:r w:rsidRPr="00B82D10">
        <w:rPr>
          <w:rFonts w:ascii="Tahoma" w:hAnsi="Tahoma" w:cs="Tahoma"/>
          <w:snapToGrid w:val="0"/>
        </w:rPr>
        <w:t>REACH rendelet: 1907/2006/EK és módosításai</w:t>
      </w:r>
    </w:p>
    <w:p w:rsidR="00B446B0" w:rsidRPr="00B82D10" w:rsidRDefault="00B446B0" w:rsidP="00547B67">
      <w:pPr>
        <w:jc w:val="both"/>
        <w:rPr>
          <w:rFonts w:ascii="Tahoma" w:hAnsi="Tahoma" w:cs="Tahoma"/>
          <w:snapToGrid w:val="0"/>
        </w:rPr>
      </w:pPr>
      <w:r w:rsidRPr="00B82D10">
        <w:rPr>
          <w:rFonts w:ascii="Tahoma" w:hAnsi="Tahoma" w:cs="Tahoma"/>
          <w:snapToGrid w:val="0"/>
        </w:rPr>
        <w:t xml:space="preserve">CLP-rendelet (1272/2008/EK) és módosításai </w:t>
      </w:r>
    </w:p>
    <w:p w:rsidR="00B446B0" w:rsidRPr="0085784E" w:rsidRDefault="00B446B0"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rsidR="00B446B0" w:rsidRPr="0085784E" w:rsidRDefault="00B446B0" w:rsidP="00547B67">
      <w:pPr>
        <w:rPr>
          <w:rFonts w:ascii="Tahoma" w:hAnsi="Tahoma" w:cs="Tahoma"/>
        </w:rPr>
      </w:pPr>
      <w:hyperlink r:id="rId10" w:history="1">
        <w:r w:rsidRPr="0085784E">
          <w:rPr>
            <w:rFonts w:ascii="Tahoma" w:hAnsi="Tahoma" w:cs="Tahoma"/>
            <w:color w:val="0000FF"/>
            <w:u w:val="single"/>
          </w:rPr>
          <w:t>https://echa.europa.eu/hu/cad-and-cmd-legislation</w:t>
        </w:r>
      </w:hyperlink>
    </w:p>
    <w:p w:rsidR="00B446B0" w:rsidRPr="0085784E" w:rsidRDefault="00B446B0"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rsidR="00B446B0" w:rsidRPr="00B82D10" w:rsidRDefault="00B446B0" w:rsidP="00784B89">
      <w:pPr>
        <w:pStyle w:val="BodyTextIndent"/>
        <w:keepNext/>
        <w:widowControl w:val="0"/>
        <w:spacing w:before="100"/>
        <w:ind w:left="0"/>
        <w:rPr>
          <w:b/>
          <w:bCs/>
        </w:rPr>
      </w:pPr>
      <w:r w:rsidRPr="00B82D10">
        <w:rPr>
          <w:b/>
          <w:bCs/>
        </w:rPr>
        <w:t>Vonatkozó nemzeti joganyagok</w:t>
      </w:r>
    </w:p>
    <w:p w:rsidR="00B446B0" w:rsidRPr="00B82D10" w:rsidRDefault="00B446B0" w:rsidP="00E66BDF">
      <w:pPr>
        <w:pStyle w:val="BodyTextIndent"/>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rsidR="00B446B0" w:rsidRPr="00B82D10" w:rsidRDefault="00B446B0" w:rsidP="00E66BDF">
      <w:pPr>
        <w:pStyle w:val="BodyTextIndent"/>
        <w:spacing w:before="0"/>
        <w:ind w:left="1701"/>
      </w:pPr>
      <w:r w:rsidRPr="00B82D10">
        <w:t>329/2012. (XI.16.) Korm. rendelet a mosó- és tisztítószerek forgalombahozatalának feltételeiről és az ellenőrzés rendjéről</w:t>
      </w:r>
    </w:p>
    <w:p w:rsidR="00B446B0" w:rsidRPr="00B82D10" w:rsidRDefault="00B446B0" w:rsidP="00E66BDF">
      <w:pPr>
        <w:pStyle w:val="BodyTextIndent"/>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rsidR="00B446B0" w:rsidRPr="00B82D10" w:rsidRDefault="00B446B0" w:rsidP="00E66BDF">
      <w:pPr>
        <w:pStyle w:val="BodyTextIndent"/>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B446B0" w:rsidRPr="00B82D10" w:rsidRDefault="00B446B0" w:rsidP="00E66BDF">
      <w:pPr>
        <w:pStyle w:val="BodyTextIndent"/>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rsidR="00B446B0" w:rsidRPr="00B82D10" w:rsidRDefault="00B446B0" w:rsidP="00E66BDF">
      <w:pPr>
        <w:pStyle w:val="BodyTextIndent"/>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rsidR="00B446B0" w:rsidRPr="00B82D10" w:rsidRDefault="00B446B0"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rsidR="00B446B0" w:rsidRPr="00B82D10" w:rsidRDefault="00B446B0"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16. szakasz: Egyéb információk</w:t>
      </w:r>
    </w:p>
    <w:p w:rsidR="00B446B0" w:rsidRDefault="00B446B0" w:rsidP="005D6C4F">
      <w:pPr>
        <w:pStyle w:val="BodyTextIndent"/>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rsidR="00B446B0" w:rsidRPr="00B82D10" w:rsidRDefault="00B446B0" w:rsidP="005D6C4F">
      <w:pPr>
        <w:pStyle w:val="BodyTextIndent"/>
        <w:spacing w:before="0"/>
        <w:ind w:left="0"/>
      </w:pPr>
      <w:r w:rsidRPr="00B82D10">
        <w:t>Az adatlap nem jelenti bármilyen jogi kötelezettség vagy felelősség vállalását a helytelen használatból adódó következményekért.</w:t>
      </w:r>
    </w:p>
    <w:p w:rsidR="00B446B0" w:rsidRPr="007F3082" w:rsidRDefault="00B446B0"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rsidR="00B446B0" w:rsidRPr="00B82D10" w:rsidRDefault="00B446B0" w:rsidP="0071009B">
      <w:pPr>
        <w:pStyle w:val="BodyTextIndent"/>
        <w:widowControl w:val="0"/>
        <w:spacing w:before="8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rsidR="00B446B0" w:rsidRPr="00B82D10" w:rsidRDefault="00B446B0" w:rsidP="0071009B">
      <w:pPr>
        <w:pStyle w:val="BodyTextIndent"/>
        <w:widowControl w:val="0"/>
        <w:spacing w:before="80"/>
        <w:ind w:left="0"/>
      </w:pPr>
      <w:r w:rsidRPr="00B82D10">
        <w:t>A BIZTONSÁGI ADATLAP MINDIG LEGYEN ELÉRHETŐ A DOLGOZÓK SZÁMÁRA.</w:t>
      </w:r>
    </w:p>
    <w:p w:rsidR="00B446B0" w:rsidRPr="00B82D10" w:rsidRDefault="00B446B0" w:rsidP="0071009B">
      <w:pPr>
        <w:pStyle w:val="BodyTextIndent"/>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rsidR="00B446B0" w:rsidRDefault="00B446B0" w:rsidP="0025347E">
      <w:pPr>
        <w:tabs>
          <w:tab w:val="left" w:pos="851"/>
        </w:tabs>
        <w:jc w:val="both"/>
        <w:rPr>
          <w:rFonts w:ascii="Tahoma" w:hAnsi="Tahoma" w:cs="Tahoma"/>
          <w:snapToGrid w:val="0"/>
        </w:rPr>
      </w:pPr>
      <w:r w:rsidRPr="00A93805">
        <w:rPr>
          <w:rFonts w:ascii="Tahoma" w:hAnsi="Tahoma" w:cs="Tahoma"/>
          <w:snapToGrid w:val="0"/>
        </w:rPr>
        <w:t xml:space="preserve">Acute Tox.: </w:t>
      </w:r>
      <w:r>
        <w:rPr>
          <w:rFonts w:ascii="Tahoma" w:hAnsi="Tahoma" w:cs="Tahoma"/>
          <w:snapToGrid w:val="0"/>
        </w:rPr>
        <w:t>a</w:t>
      </w:r>
      <w:r w:rsidRPr="00A93805">
        <w:rPr>
          <w:rFonts w:ascii="Tahoma" w:hAnsi="Tahoma" w:cs="Tahoma"/>
          <w:snapToGrid w:val="0"/>
        </w:rPr>
        <w:t>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rsidR="00B446B0" w:rsidRPr="00CD64CE" w:rsidRDefault="00B446B0" w:rsidP="0025347E">
      <w:pPr>
        <w:tabs>
          <w:tab w:val="left" w:pos="851"/>
        </w:tabs>
        <w:jc w:val="both"/>
        <w:rPr>
          <w:rFonts w:ascii="Tahoma" w:hAnsi="Tahoma" w:cs="Tahoma"/>
          <w:snapToGrid w:val="0"/>
        </w:rPr>
      </w:pPr>
      <w:r>
        <w:rPr>
          <w:rFonts w:ascii="Tahoma" w:hAnsi="Tahoma" w:cs="Tahoma"/>
          <w:snapToGrid w:val="0"/>
        </w:rPr>
        <w:t>H302</w:t>
      </w:r>
      <w:r>
        <w:rPr>
          <w:rFonts w:ascii="Tahoma" w:hAnsi="Tahoma" w:cs="Tahoma"/>
          <w:snapToGrid w:val="0"/>
        </w:rPr>
        <w:tab/>
        <w:t>Lenyelve ártalmas</w:t>
      </w:r>
    </w:p>
    <w:p w:rsidR="00B446B0" w:rsidRPr="00CD64CE" w:rsidRDefault="00B446B0"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p>
    <w:p w:rsidR="00B446B0" w:rsidRDefault="00B446B0" w:rsidP="00BA3615">
      <w:pPr>
        <w:tabs>
          <w:tab w:val="left" w:pos="851"/>
          <w:tab w:val="left" w:pos="3686"/>
        </w:tabs>
        <w:ind w:left="851" w:hanging="851"/>
        <w:jc w:val="both"/>
        <w:rPr>
          <w:rFonts w:ascii="Tahoma" w:hAnsi="Tahoma" w:cs="Tahoma"/>
          <w:snapToGrid w:val="0"/>
        </w:rPr>
      </w:pPr>
      <w:r>
        <w:rPr>
          <w:rFonts w:ascii="Tahoma" w:hAnsi="Tahoma" w:cs="Tahoma"/>
          <w:snapToGrid w:val="0"/>
        </w:rPr>
        <w:t>H318</w:t>
      </w:r>
      <w:r>
        <w:rPr>
          <w:rFonts w:ascii="Tahoma" w:hAnsi="Tahoma" w:cs="Tahoma"/>
          <w:snapToGrid w:val="0"/>
        </w:rPr>
        <w:tab/>
        <w:t>Súlyos szemkárosodást okoz</w:t>
      </w:r>
    </w:p>
    <w:p w:rsidR="00B446B0" w:rsidRPr="00CD64CE" w:rsidRDefault="00B446B0" w:rsidP="0025347E">
      <w:pPr>
        <w:tabs>
          <w:tab w:val="left" w:pos="851"/>
          <w:tab w:val="left" w:pos="3686"/>
        </w:tabs>
        <w:ind w:left="851" w:hanging="851"/>
        <w:jc w:val="both"/>
        <w:rPr>
          <w:rFonts w:ascii="Tahoma" w:hAnsi="Tahoma" w:cs="Tahoma"/>
          <w:snapToGrid w:val="0"/>
        </w:rPr>
      </w:pPr>
      <w:r>
        <w:rPr>
          <w:rFonts w:ascii="Tahoma" w:hAnsi="Tahoma" w:cs="Tahoma"/>
          <w:snapToGrid w:val="0"/>
        </w:rPr>
        <w:t>H319</w:t>
      </w:r>
      <w:r>
        <w:rPr>
          <w:rFonts w:ascii="Tahoma" w:hAnsi="Tahoma" w:cs="Tahoma"/>
          <w:snapToGrid w:val="0"/>
        </w:rPr>
        <w:tab/>
        <w:t>Súlyos szemirritációt okoz</w:t>
      </w:r>
      <w:r>
        <w:rPr>
          <w:rFonts w:ascii="Tahoma" w:hAnsi="Tahoma" w:cs="Tahoma"/>
          <w:snapToGrid w:val="0"/>
        </w:rPr>
        <w:tab/>
      </w:r>
    </w:p>
    <w:p w:rsidR="00B446B0" w:rsidRPr="00CD64CE" w:rsidRDefault="00B446B0"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w:t>
      </w:r>
      <w:r>
        <w:rPr>
          <w:rFonts w:ascii="Tahoma" w:hAnsi="Tahoma" w:cs="Tahoma"/>
          <w:snapToGrid w:val="0"/>
        </w:rPr>
        <w:t>, hosszan tartó károsodást okoz</w:t>
      </w:r>
    </w:p>
    <w:p w:rsidR="00B446B0" w:rsidRPr="00B82D10" w:rsidRDefault="00B446B0"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rsidR="00B446B0" w:rsidRPr="00B82D10" w:rsidRDefault="00B446B0" w:rsidP="00414D81">
      <w:pPr>
        <w:tabs>
          <w:tab w:val="left" w:pos="851"/>
        </w:tabs>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rsidR="00B446B0" w:rsidRPr="00B82D10" w:rsidRDefault="00B446B0"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rsidR="00B446B0" w:rsidRPr="00B82D10" w:rsidRDefault="00B446B0"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Aviation Organization Technical Instruction for the Safe Transport of Dangerous Goods by Air </w:t>
      </w:r>
    </w:p>
    <w:p w:rsidR="00B446B0" w:rsidRPr="00B82D10" w:rsidRDefault="00B446B0"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rsidR="00B446B0" w:rsidRPr="00B82D10" w:rsidRDefault="00B446B0"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rsidR="00B446B0" w:rsidRPr="00B82D10" w:rsidRDefault="00B446B0" w:rsidP="00414D81">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rsidR="00B446B0" w:rsidRPr="00E8083F" w:rsidRDefault="00B446B0" w:rsidP="00E8083F">
      <w:pPr>
        <w:tabs>
          <w:tab w:val="left" w:pos="851"/>
        </w:tabs>
        <w:ind w:left="851" w:hanging="851"/>
        <w:jc w:val="both"/>
        <w:rPr>
          <w:rFonts w:ascii="Tahoma" w:hAnsi="Tahoma" w:cs="Tahoma"/>
        </w:rPr>
      </w:pPr>
      <w:bookmarkStart w:id="13" w:name="_Hlk20088734"/>
      <w:r w:rsidRPr="00E8083F">
        <w:rPr>
          <w:rFonts w:ascii="Tahoma" w:hAnsi="Tahoma" w:cs="Tahoma"/>
        </w:rPr>
        <w:t>M</w:t>
      </w:r>
      <w:r w:rsidRPr="00E8083F">
        <w:rPr>
          <w:rFonts w:ascii="Tahoma" w:hAnsi="Tahoma" w:cs="Tahoma"/>
        </w:rPr>
        <w:tab/>
        <w:t>szorzótényező, mely alkalmazandó az akut és a krónikus vízi környezeti veszély súlyozott szummációs módszerrel történő megállapításánál</w:t>
      </w:r>
    </w:p>
    <w:bookmarkEnd w:id="13"/>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rsidR="00B446B0" w:rsidRPr="00414D81" w:rsidRDefault="00B446B0"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r w:rsidRPr="00414D81">
        <w:rPr>
          <w:rFonts w:ascii="Tahoma" w:hAnsi="Tahoma" w:cs="Tahoma"/>
          <w:spacing w:val="-2"/>
        </w:rPr>
        <w:t>Registration, Evaluation, Authorisation and Restriction of Chemicals – A vegyi anyagok regisztrálásáról, értékeléséről, engedélyezéséről és korlátozásáról szóló 1907/2006/EK rendelet</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rsidR="00B446B0" w:rsidRPr="00B82D10" w:rsidRDefault="00B446B0" w:rsidP="00414D81">
      <w:pPr>
        <w:tabs>
          <w:tab w:val="left" w:pos="851"/>
        </w:tabs>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rsidR="00B446B0" w:rsidRPr="00B82D10" w:rsidRDefault="00B446B0" w:rsidP="00E66BDF">
      <w:pPr>
        <w:pStyle w:val="BodyTextIndent"/>
        <w:widowControl w:val="0"/>
        <w:spacing w:before="120"/>
        <w:ind w:left="0"/>
      </w:pPr>
      <w:r w:rsidRPr="00B82D10">
        <w:rPr>
          <w:b/>
          <w:bCs/>
        </w:rPr>
        <w:t>Adatlaptörténet:</w:t>
      </w:r>
      <w:r w:rsidRPr="00B82D10">
        <w:t xml:space="preserve"> </w:t>
      </w:r>
      <w:r>
        <w:rPr>
          <w:snapToGrid w:val="0"/>
        </w:rPr>
        <w:t>biztonsági adatlap</w:t>
      </w:r>
      <w:r w:rsidRPr="00C37780">
        <w:rPr>
          <w:snapToGrid w:val="0"/>
        </w:rPr>
        <w:t xml:space="preserve"> a gyártó adatai és a komponensek biztonsági adatlapjainak a felhasználásával készült</w:t>
      </w:r>
      <w:r>
        <w:rPr>
          <w:snapToGrid w:val="0"/>
        </w:rPr>
        <w:t>; a módosítás célja a 2020/878/EU rendeletnek való megfelelés.</w:t>
      </w:r>
    </w:p>
    <w:sectPr w:rsidR="00B446B0"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6B0" w:rsidRDefault="00B446B0">
      <w:r>
        <w:separator/>
      </w:r>
    </w:p>
  </w:endnote>
  <w:endnote w:type="continuationSeparator" w:id="0">
    <w:p w:rsidR="00B446B0" w:rsidRDefault="00B446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6B0" w:rsidRDefault="00B446B0">
      <w:r>
        <w:separator/>
      </w:r>
    </w:p>
  </w:footnote>
  <w:footnote w:type="continuationSeparator" w:id="0">
    <w:p w:rsidR="00B446B0" w:rsidRDefault="00B4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B0" w:rsidRDefault="00B446B0" w:rsidP="008056B9">
    <w:pPr>
      <w:pStyle w:val="Header"/>
      <w:tabs>
        <w:tab w:val="clear" w:pos="4536"/>
        <w:tab w:val="clear" w:pos="9072"/>
        <w:tab w:val="right" w:pos="9354"/>
      </w:tabs>
      <w:rPr>
        <w:rFonts w:ascii="Tahoma" w:hAnsi="Tahoma" w:cs="Tahoma"/>
        <w:noProof/>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alt="gironde-logo.png" style="position:absolute;margin-left:409.1pt;margin-top:-13.05pt;width:48.6pt;height:44.2pt;z-index:-251656192;visibility:visible" wrapcoords="-332 0 -332 21234 21600 21234 21600 0 -332 0">
          <v:imagedata r:id="rId1" o:title=""/>
          <w10:wrap type="tight"/>
        </v:shape>
      </w:pict>
    </w:r>
    <w:r>
      <w:rPr>
        <w:rFonts w:ascii="Tahoma" w:hAnsi="Tahoma" w:cs="Tahoma"/>
        <w:noProof/>
        <w:sz w:val="14"/>
        <w:szCs w:val="14"/>
      </w:rPr>
      <w:t>Lorilux mosógél color &amp; power</w:t>
    </w:r>
    <w:r>
      <w:rPr>
        <w:rFonts w:ascii="Tahoma" w:hAnsi="Tahoma" w:cs="Tahoma"/>
        <w:noProof/>
        <w:sz w:val="14"/>
        <w:szCs w:val="14"/>
      </w:rPr>
      <w:tab/>
    </w:r>
  </w:p>
  <w:p w:rsidR="00B446B0" w:rsidRDefault="00B446B0"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Kiadva 2023. január 30.</w:t>
    </w:r>
  </w:p>
  <w:p w:rsidR="00B446B0" w:rsidRDefault="00B446B0" w:rsidP="00B96918">
    <w:pPr>
      <w:pStyle w:val="Header"/>
      <w:tabs>
        <w:tab w:val="clear" w:pos="9072"/>
        <w:tab w:val="left" w:pos="7230"/>
        <w:tab w:val="left" w:pos="8082"/>
      </w:tabs>
      <w:rPr>
        <w:rStyle w:val="PageNumber"/>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PageNumber"/>
        <w:rFonts w:ascii="Tahoma" w:hAnsi="Tahoma" w:cs="Tahoma"/>
        <w:sz w:val="14"/>
        <w:szCs w:val="14"/>
      </w:rPr>
      <w:fldChar w:fldCharType="begin"/>
    </w:r>
    <w:r>
      <w:rPr>
        <w:rStyle w:val="PageNumber"/>
        <w:rFonts w:ascii="Tahoma" w:hAnsi="Tahoma" w:cs="Tahoma"/>
        <w:sz w:val="14"/>
        <w:szCs w:val="14"/>
      </w:rPr>
      <w:instrText xml:space="preserve"> PAGE </w:instrText>
    </w:r>
    <w:r>
      <w:rPr>
        <w:rStyle w:val="PageNumber"/>
        <w:rFonts w:ascii="Tahoma" w:hAnsi="Tahoma" w:cs="Tahoma"/>
        <w:sz w:val="14"/>
        <w:szCs w:val="14"/>
      </w:rPr>
      <w:fldChar w:fldCharType="separate"/>
    </w:r>
    <w:r>
      <w:rPr>
        <w:rStyle w:val="PageNumber"/>
        <w:rFonts w:ascii="Tahoma" w:hAnsi="Tahoma" w:cs="Tahoma"/>
        <w:noProof/>
        <w:sz w:val="14"/>
        <w:szCs w:val="14"/>
      </w:rPr>
      <w:t>2</w:t>
    </w:r>
    <w:r>
      <w:rPr>
        <w:rStyle w:val="PageNumber"/>
        <w:rFonts w:ascii="Tahoma" w:hAnsi="Tahoma" w:cs="Tahoma"/>
        <w:sz w:val="14"/>
        <w:szCs w:val="14"/>
      </w:rPr>
      <w:fldChar w:fldCharType="end"/>
    </w:r>
    <w:r>
      <w:rPr>
        <w:rStyle w:val="PageNumber"/>
        <w:rFonts w:ascii="Tahoma" w:hAnsi="Tahoma" w:cs="Tahoma"/>
        <w:sz w:val="14"/>
        <w:szCs w:val="14"/>
      </w:rPr>
      <w:t>/</w:t>
    </w:r>
    <w:r>
      <w:rPr>
        <w:rStyle w:val="PageNumber"/>
        <w:rFonts w:ascii="Tahoma" w:hAnsi="Tahoma" w:cs="Tahoma"/>
        <w:sz w:val="14"/>
        <w:szCs w:val="14"/>
      </w:rPr>
      <w:fldChar w:fldCharType="begin"/>
    </w:r>
    <w:r>
      <w:rPr>
        <w:rStyle w:val="PageNumber"/>
        <w:rFonts w:ascii="Tahoma" w:hAnsi="Tahoma" w:cs="Tahoma"/>
        <w:sz w:val="14"/>
        <w:szCs w:val="14"/>
      </w:rPr>
      <w:instrText xml:space="preserve"> NUMPAGES </w:instrText>
    </w:r>
    <w:r>
      <w:rPr>
        <w:rStyle w:val="PageNumber"/>
        <w:rFonts w:ascii="Tahoma" w:hAnsi="Tahoma" w:cs="Tahoma"/>
        <w:sz w:val="14"/>
        <w:szCs w:val="14"/>
      </w:rPr>
      <w:fldChar w:fldCharType="separate"/>
    </w:r>
    <w:r>
      <w:rPr>
        <w:rStyle w:val="PageNumber"/>
        <w:rFonts w:ascii="Tahoma" w:hAnsi="Tahoma" w:cs="Tahoma"/>
        <w:noProof/>
        <w:sz w:val="14"/>
        <w:szCs w:val="14"/>
      </w:rPr>
      <w:t>7</w:t>
    </w:r>
    <w:r>
      <w:rPr>
        <w:rStyle w:val="PageNumber"/>
        <w:rFonts w:ascii="Tahoma" w:hAnsi="Tahoma" w:cs="Tahoma"/>
        <w:sz w:val="14"/>
        <w:szCs w:val="1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7"/>
  </w:num>
  <w:num w:numId="20">
    <w:abstractNumId w:val="11"/>
  </w:num>
  <w:num w:numId="21">
    <w:abstractNumId w:val="7"/>
  </w:num>
  <w:num w:numId="22">
    <w:abstractNumId w:val="22"/>
  </w:num>
  <w:num w:numId="23">
    <w:abstractNumId w:val="20"/>
  </w:num>
  <w:num w:numId="24">
    <w:abstractNumId w:val="23"/>
  </w:num>
  <w:num w:numId="25">
    <w:abstractNumId w:val="18"/>
  </w:num>
  <w:num w:numId="26">
    <w:abstractNumId w:val="3"/>
  </w:num>
  <w:num w:numId="27">
    <w:abstractNumId w:val="12"/>
  </w:num>
  <w:num w:numId="28">
    <w:abstractNumId w:val="6"/>
  </w:num>
  <w:num w:numId="29">
    <w:abstractNumId w:val="2"/>
  </w:num>
  <w:num w:numId="30">
    <w:abstractNumId w:val="16"/>
  </w:num>
  <w:num w:numId="31">
    <w:abstractNumId w:val="8"/>
  </w:num>
  <w:num w:numId="32">
    <w:abstractNumId w:val="15"/>
  </w:num>
  <w:num w:numId="33">
    <w:abstractNumId w:val="4"/>
  </w:num>
  <w:num w:numId="34">
    <w:abstractNumId w:val="21"/>
  </w:num>
  <w:num w:numId="35">
    <w:abstractNumId w:val="9"/>
  </w:num>
  <w:num w:numId="36">
    <w:abstractNumId w:val="24"/>
  </w:num>
  <w:num w:numId="37">
    <w:abstractNumId w:val="14"/>
  </w:num>
  <w:num w:numId="38">
    <w:abstractNumId w:val="1"/>
  </w:num>
  <w:num w:numId="39">
    <w:abstractNumId w:val="19"/>
  </w:num>
  <w:num w:numId="40">
    <w:abstractNumId w:val="5"/>
  </w:num>
  <w:num w:numId="41">
    <w:abstractNumId w:val="10"/>
  </w:num>
  <w:num w:numId="42">
    <w:abstractNumId w:val="13"/>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37"/>
    <w:rsid w:val="0000267D"/>
    <w:rsid w:val="000054AC"/>
    <w:rsid w:val="0000633E"/>
    <w:rsid w:val="000064AE"/>
    <w:rsid w:val="00006A46"/>
    <w:rsid w:val="0000786A"/>
    <w:rsid w:val="00011871"/>
    <w:rsid w:val="00012C3A"/>
    <w:rsid w:val="00015D7D"/>
    <w:rsid w:val="0002079C"/>
    <w:rsid w:val="00023487"/>
    <w:rsid w:val="000267AD"/>
    <w:rsid w:val="0003421F"/>
    <w:rsid w:val="00035BEF"/>
    <w:rsid w:val="00037104"/>
    <w:rsid w:val="000376BB"/>
    <w:rsid w:val="00040A53"/>
    <w:rsid w:val="00045136"/>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1AB5"/>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011"/>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0601F"/>
    <w:rsid w:val="00210D0C"/>
    <w:rsid w:val="00211048"/>
    <w:rsid w:val="0021392C"/>
    <w:rsid w:val="00213A1F"/>
    <w:rsid w:val="002156C3"/>
    <w:rsid w:val="0021620D"/>
    <w:rsid w:val="00216CA3"/>
    <w:rsid w:val="0022012B"/>
    <w:rsid w:val="002232C3"/>
    <w:rsid w:val="002316E6"/>
    <w:rsid w:val="00231A35"/>
    <w:rsid w:val="002355E9"/>
    <w:rsid w:val="00235808"/>
    <w:rsid w:val="002358F4"/>
    <w:rsid w:val="0023774E"/>
    <w:rsid w:val="00243E50"/>
    <w:rsid w:val="00247ADA"/>
    <w:rsid w:val="00247F47"/>
    <w:rsid w:val="0025347E"/>
    <w:rsid w:val="002566AD"/>
    <w:rsid w:val="00260DEE"/>
    <w:rsid w:val="0026147A"/>
    <w:rsid w:val="00262FEC"/>
    <w:rsid w:val="002648B5"/>
    <w:rsid w:val="002654A2"/>
    <w:rsid w:val="00271C57"/>
    <w:rsid w:val="00274F9A"/>
    <w:rsid w:val="00275C61"/>
    <w:rsid w:val="00280409"/>
    <w:rsid w:val="002833C0"/>
    <w:rsid w:val="00290594"/>
    <w:rsid w:val="00291C82"/>
    <w:rsid w:val="00293CAD"/>
    <w:rsid w:val="00294858"/>
    <w:rsid w:val="00295615"/>
    <w:rsid w:val="002A037D"/>
    <w:rsid w:val="002A09C5"/>
    <w:rsid w:val="002A1B85"/>
    <w:rsid w:val="002A3760"/>
    <w:rsid w:val="002B06F6"/>
    <w:rsid w:val="002B2592"/>
    <w:rsid w:val="002B5B34"/>
    <w:rsid w:val="002B6409"/>
    <w:rsid w:val="002B6BE7"/>
    <w:rsid w:val="002C396B"/>
    <w:rsid w:val="002C4BA7"/>
    <w:rsid w:val="002C4EED"/>
    <w:rsid w:val="002C56A6"/>
    <w:rsid w:val="002C6EA5"/>
    <w:rsid w:val="002E1D09"/>
    <w:rsid w:val="002E743C"/>
    <w:rsid w:val="002E7A9F"/>
    <w:rsid w:val="00301D81"/>
    <w:rsid w:val="003073B5"/>
    <w:rsid w:val="0031322A"/>
    <w:rsid w:val="00313947"/>
    <w:rsid w:val="0031732B"/>
    <w:rsid w:val="00322095"/>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64230"/>
    <w:rsid w:val="00376AB8"/>
    <w:rsid w:val="00377006"/>
    <w:rsid w:val="00381620"/>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13ED"/>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31054"/>
    <w:rsid w:val="00546D71"/>
    <w:rsid w:val="00547B67"/>
    <w:rsid w:val="0055089F"/>
    <w:rsid w:val="00551E54"/>
    <w:rsid w:val="00553226"/>
    <w:rsid w:val="005545FB"/>
    <w:rsid w:val="00554B90"/>
    <w:rsid w:val="00554BA6"/>
    <w:rsid w:val="005607C0"/>
    <w:rsid w:val="00562764"/>
    <w:rsid w:val="0056484A"/>
    <w:rsid w:val="00567EE0"/>
    <w:rsid w:val="00570043"/>
    <w:rsid w:val="005717D0"/>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5561"/>
    <w:rsid w:val="00616803"/>
    <w:rsid w:val="00616D0A"/>
    <w:rsid w:val="0062027F"/>
    <w:rsid w:val="006205CC"/>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2D75"/>
    <w:rsid w:val="006657B2"/>
    <w:rsid w:val="006660B2"/>
    <w:rsid w:val="00666C88"/>
    <w:rsid w:val="00670F3E"/>
    <w:rsid w:val="006711FD"/>
    <w:rsid w:val="0067132A"/>
    <w:rsid w:val="00675D5C"/>
    <w:rsid w:val="00682C9C"/>
    <w:rsid w:val="00682DE5"/>
    <w:rsid w:val="00683C91"/>
    <w:rsid w:val="00683E67"/>
    <w:rsid w:val="0068433E"/>
    <w:rsid w:val="0068681B"/>
    <w:rsid w:val="00687897"/>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3229A"/>
    <w:rsid w:val="0084435D"/>
    <w:rsid w:val="00845210"/>
    <w:rsid w:val="0085039B"/>
    <w:rsid w:val="00850938"/>
    <w:rsid w:val="00851EA0"/>
    <w:rsid w:val="00855506"/>
    <w:rsid w:val="00856068"/>
    <w:rsid w:val="0085784E"/>
    <w:rsid w:val="00857BC3"/>
    <w:rsid w:val="0086010E"/>
    <w:rsid w:val="008624A2"/>
    <w:rsid w:val="00865127"/>
    <w:rsid w:val="00865D16"/>
    <w:rsid w:val="008661B6"/>
    <w:rsid w:val="00866CA1"/>
    <w:rsid w:val="00867F7E"/>
    <w:rsid w:val="00871448"/>
    <w:rsid w:val="00874D02"/>
    <w:rsid w:val="0087742B"/>
    <w:rsid w:val="00880685"/>
    <w:rsid w:val="00881F77"/>
    <w:rsid w:val="00890DCD"/>
    <w:rsid w:val="00897F4A"/>
    <w:rsid w:val="008A5328"/>
    <w:rsid w:val="008A684B"/>
    <w:rsid w:val="008B3D73"/>
    <w:rsid w:val="008B4EC6"/>
    <w:rsid w:val="008B5418"/>
    <w:rsid w:val="008C05C5"/>
    <w:rsid w:val="008C1723"/>
    <w:rsid w:val="008C263C"/>
    <w:rsid w:val="008C34D8"/>
    <w:rsid w:val="008C4891"/>
    <w:rsid w:val="008C67E6"/>
    <w:rsid w:val="008C7181"/>
    <w:rsid w:val="008D01FE"/>
    <w:rsid w:val="008D6159"/>
    <w:rsid w:val="008D7648"/>
    <w:rsid w:val="008E24C3"/>
    <w:rsid w:val="008E689F"/>
    <w:rsid w:val="008F1B88"/>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36A3"/>
    <w:rsid w:val="00954020"/>
    <w:rsid w:val="0096262D"/>
    <w:rsid w:val="009627F5"/>
    <w:rsid w:val="009646CA"/>
    <w:rsid w:val="00964C6F"/>
    <w:rsid w:val="00966D2D"/>
    <w:rsid w:val="00971698"/>
    <w:rsid w:val="00972401"/>
    <w:rsid w:val="00973588"/>
    <w:rsid w:val="00974C5E"/>
    <w:rsid w:val="009801E7"/>
    <w:rsid w:val="0099429A"/>
    <w:rsid w:val="00994564"/>
    <w:rsid w:val="009957FB"/>
    <w:rsid w:val="00995C93"/>
    <w:rsid w:val="009962E7"/>
    <w:rsid w:val="00996F50"/>
    <w:rsid w:val="009A1225"/>
    <w:rsid w:val="009A4FA7"/>
    <w:rsid w:val="009A7620"/>
    <w:rsid w:val="009B057A"/>
    <w:rsid w:val="009B2A63"/>
    <w:rsid w:val="009B325F"/>
    <w:rsid w:val="009B39F9"/>
    <w:rsid w:val="009B6108"/>
    <w:rsid w:val="009B6461"/>
    <w:rsid w:val="009B790E"/>
    <w:rsid w:val="009C0503"/>
    <w:rsid w:val="009C09DF"/>
    <w:rsid w:val="009C1D9A"/>
    <w:rsid w:val="009C4EB8"/>
    <w:rsid w:val="009C70CF"/>
    <w:rsid w:val="009D096A"/>
    <w:rsid w:val="009D39F4"/>
    <w:rsid w:val="009D660E"/>
    <w:rsid w:val="009D663D"/>
    <w:rsid w:val="009E174D"/>
    <w:rsid w:val="009E1BEA"/>
    <w:rsid w:val="009E233E"/>
    <w:rsid w:val="009E3DFE"/>
    <w:rsid w:val="009F1846"/>
    <w:rsid w:val="00A0044A"/>
    <w:rsid w:val="00A018D0"/>
    <w:rsid w:val="00A03D8A"/>
    <w:rsid w:val="00A07D25"/>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655"/>
    <w:rsid w:val="00A54F27"/>
    <w:rsid w:val="00A57DB9"/>
    <w:rsid w:val="00A64DCE"/>
    <w:rsid w:val="00A66495"/>
    <w:rsid w:val="00A734DB"/>
    <w:rsid w:val="00A7737B"/>
    <w:rsid w:val="00A775F0"/>
    <w:rsid w:val="00A8046C"/>
    <w:rsid w:val="00A841BB"/>
    <w:rsid w:val="00A8502F"/>
    <w:rsid w:val="00A855C9"/>
    <w:rsid w:val="00A86173"/>
    <w:rsid w:val="00A87712"/>
    <w:rsid w:val="00A9075B"/>
    <w:rsid w:val="00A93805"/>
    <w:rsid w:val="00A944B3"/>
    <w:rsid w:val="00A96462"/>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1C67"/>
    <w:rsid w:val="00B029F4"/>
    <w:rsid w:val="00B037AF"/>
    <w:rsid w:val="00B05736"/>
    <w:rsid w:val="00B10213"/>
    <w:rsid w:val="00B110D7"/>
    <w:rsid w:val="00B11DFE"/>
    <w:rsid w:val="00B12268"/>
    <w:rsid w:val="00B15377"/>
    <w:rsid w:val="00B158D1"/>
    <w:rsid w:val="00B17501"/>
    <w:rsid w:val="00B234DF"/>
    <w:rsid w:val="00B26C47"/>
    <w:rsid w:val="00B3376E"/>
    <w:rsid w:val="00B33A4F"/>
    <w:rsid w:val="00B446B0"/>
    <w:rsid w:val="00B44C12"/>
    <w:rsid w:val="00B505C3"/>
    <w:rsid w:val="00B515F6"/>
    <w:rsid w:val="00B51D7D"/>
    <w:rsid w:val="00B5250F"/>
    <w:rsid w:val="00B5625B"/>
    <w:rsid w:val="00B56BFA"/>
    <w:rsid w:val="00B62925"/>
    <w:rsid w:val="00B63F21"/>
    <w:rsid w:val="00B67011"/>
    <w:rsid w:val="00B7051B"/>
    <w:rsid w:val="00B70A1E"/>
    <w:rsid w:val="00B718C9"/>
    <w:rsid w:val="00B71939"/>
    <w:rsid w:val="00B71AFD"/>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A03"/>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37780"/>
    <w:rsid w:val="00C40BD7"/>
    <w:rsid w:val="00C43434"/>
    <w:rsid w:val="00C44FD3"/>
    <w:rsid w:val="00C455CB"/>
    <w:rsid w:val="00C45CA2"/>
    <w:rsid w:val="00C46CAC"/>
    <w:rsid w:val="00C50C6F"/>
    <w:rsid w:val="00C54589"/>
    <w:rsid w:val="00C54F68"/>
    <w:rsid w:val="00C63D52"/>
    <w:rsid w:val="00C6520D"/>
    <w:rsid w:val="00C66674"/>
    <w:rsid w:val="00C7218F"/>
    <w:rsid w:val="00C7738B"/>
    <w:rsid w:val="00C84C27"/>
    <w:rsid w:val="00C86C3C"/>
    <w:rsid w:val="00C934BE"/>
    <w:rsid w:val="00CA2702"/>
    <w:rsid w:val="00CA4144"/>
    <w:rsid w:val="00CA5BA2"/>
    <w:rsid w:val="00CB0228"/>
    <w:rsid w:val="00CB11F2"/>
    <w:rsid w:val="00CB1331"/>
    <w:rsid w:val="00CB20D4"/>
    <w:rsid w:val="00CC3606"/>
    <w:rsid w:val="00CD09CC"/>
    <w:rsid w:val="00CD4D70"/>
    <w:rsid w:val="00CD5461"/>
    <w:rsid w:val="00CD64CE"/>
    <w:rsid w:val="00CE305A"/>
    <w:rsid w:val="00CE7E36"/>
    <w:rsid w:val="00CF204D"/>
    <w:rsid w:val="00CF3034"/>
    <w:rsid w:val="00CF578F"/>
    <w:rsid w:val="00D00FB8"/>
    <w:rsid w:val="00D02C5C"/>
    <w:rsid w:val="00D05604"/>
    <w:rsid w:val="00D06902"/>
    <w:rsid w:val="00D07244"/>
    <w:rsid w:val="00D105BC"/>
    <w:rsid w:val="00D11AB8"/>
    <w:rsid w:val="00D11E73"/>
    <w:rsid w:val="00D12575"/>
    <w:rsid w:val="00D12E75"/>
    <w:rsid w:val="00D20C23"/>
    <w:rsid w:val="00D212A8"/>
    <w:rsid w:val="00D315CB"/>
    <w:rsid w:val="00D334C4"/>
    <w:rsid w:val="00D33B2C"/>
    <w:rsid w:val="00D3670F"/>
    <w:rsid w:val="00D369CD"/>
    <w:rsid w:val="00D373E5"/>
    <w:rsid w:val="00D37B02"/>
    <w:rsid w:val="00D37F5E"/>
    <w:rsid w:val="00D42987"/>
    <w:rsid w:val="00D464D8"/>
    <w:rsid w:val="00D50CA3"/>
    <w:rsid w:val="00D54A2D"/>
    <w:rsid w:val="00D56620"/>
    <w:rsid w:val="00D57388"/>
    <w:rsid w:val="00D6058E"/>
    <w:rsid w:val="00D615F3"/>
    <w:rsid w:val="00D67BE9"/>
    <w:rsid w:val="00D71DAF"/>
    <w:rsid w:val="00D84722"/>
    <w:rsid w:val="00D849A1"/>
    <w:rsid w:val="00D86E64"/>
    <w:rsid w:val="00D87AFD"/>
    <w:rsid w:val="00D87FC1"/>
    <w:rsid w:val="00D90215"/>
    <w:rsid w:val="00DA403F"/>
    <w:rsid w:val="00DA561D"/>
    <w:rsid w:val="00DB1675"/>
    <w:rsid w:val="00DB3428"/>
    <w:rsid w:val="00DB503D"/>
    <w:rsid w:val="00DB5F8A"/>
    <w:rsid w:val="00DB641D"/>
    <w:rsid w:val="00DD1097"/>
    <w:rsid w:val="00DD46D4"/>
    <w:rsid w:val="00DD5C0B"/>
    <w:rsid w:val="00DD66D6"/>
    <w:rsid w:val="00DE2BB3"/>
    <w:rsid w:val="00DE2E56"/>
    <w:rsid w:val="00DE35E3"/>
    <w:rsid w:val="00DE4165"/>
    <w:rsid w:val="00DE486D"/>
    <w:rsid w:val="00DE4DB5"/>
    <w:rsid w:val="00DE5CDE"/>
    <w:rsid w:val="00DF0949"/>
    <w:rsid w:val="00DF0ADF"/>
    <w:rsid w:val="00DF350F"/>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2141"/>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7300"/>
    <w:rsid w:val="00F2000B"/>
    <w:rsid w:val="00F20053"/>
    <w:rsid w:val="00F26283"/>
    <w:rsid w:val="00F32341"/>
    <w:rsid w:val="00F33556"/>
    <w:rsid w:val="00F34282"/>
    <w:rsid w:val="00F36B95"/>
    <w:rsid w:val="00F36C2D"/>
    <w:rsid w:val="00F4323B"/>
    <w:rsid w:val="00F44577"/>
    <w:rsid w:val="00F466F6"/>
    <w:rsid w:val="00F56C3F"/>
    <w:rsid w:val="00F57C8E"/>
    <w:rsid w:val="00F60296"/>
    <w:rsid w:val="00F60EC3"/>
    <w:rsid w:val="00F61B60"/>
    <w:rsid w:val="00F61E74"/>
    <w:rsid w:val="00F6242D"/>
    <w:rsid w:val="00F640E1"/>
    <w:rsid w:val="00F73C6D"/>
    <w:rsid w:val="00F73CDB"/>
    <w:rsid w:val="00F86D1D"/>
    <w:rsid w:val="00F9588C"/>
    <w:rsid w:val="00FA1EC5"/>
    <w:rsid w:val="00FB085D"/>
    <w:rsid w:val="00FB0B78"/>
    <w:rsid w:val="00FB624F"/>
    <w:rsid w:val="00FB755E"/>
    <w:rsid w:val="00FC4222"/>
    <w:rsid w:val="00FC43CA"/>
    <w:rsid w:val="00FC45D1"/>
    <w:rsid w:val="00FC5EDD"/>
    <w:rsid w:val="00FD2876"/>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15"/>
    <w:rPr>
      <w:sz w:val="20"/>
      <w:szCs w:val="20"/>
    </w:rPr>
  </w:style>
  <w:style w:type="paragraph" w:styleId="Heading1">
    <w:name w:val="heading 1"/>
    <w:basedOn w:val="Normal"/>
    <w:next w:val="Normal"/>
    <w:link w:val="Heading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5D1"/>
    <w:rPr>
      <w:rFonts w:ascii="Cambria" w:hAnsi="Cambria" w:cs="Cambria"/>
      <w:b/>
      <w:bCs/>
      <w:kern w:val="32"/>
      <w:sz w:val="32"/>
      <w:szCs w:val="32"/>
    </w:rPr>
  </w:style>
  <w:style w:type="paragraph" w:styleId="Title">
    <w:name w:val="Title"/>
    <w:basedOn w:val="Normal"/>
    <w:link w:val="TitleChar"/>
    <w:uiPriority w:val="99"/>
    <w:qFormat/>
    <w:rsid w:val="004A5315"/>
    <w:pPr>
      <w:spacing w:before="480" w:after="240"/>
      <w:jc w:val="center"/>
    </w:pPr>
    <w:rPr>
      <w:rFonts w:ascii="Verdana" w:hAnsi="Verdana" w:cs="Verdana"/>
      <w:sz w:val="28"/>
      <w:szCs w:val="28"/>
    </w:rPr>
  </w:style>
  <w:style w:type="character" w:customStyle="1" w:styleId="TitleChar">
    <w:name w:val="Title Char"/>
    <w:basedOn w:val="DefaultParagraphFont"/>
    <w:link w:val="Title"/>
    <w:uiPriority w:val="99"/>
    <w:locked/>
    <w:rsid w:val="00FC45D1"/>
    <w:rPr>
      <w:rFonts w:ascii="Cambria" w:hAnsi="Cambria" w:cs="Cambria"/>
      <w:b/>
      <w:bCs/>
      <w:kern w:val="28"/>
      <w:sz w:val="32"/>
      <w:szCs w:val="32"/>
    </w:rPr>
  </w:style>
  <w:style w:type="paragraph" w:styleId="Header">
    <w:name w:val="header"/>
    <w:basedOn w:val="Normal"/>
    <w:link w:val="HeaderChar"/>
    <w:uiPriority w:val="99"/>
    <w:rsid w:val="004A5315"/>
    <w:pPr>
      <w:tabs>
        <w:tab w:val="center" w:pos="4536"/>
        <w:tab w:val="right" w:pos="9072"/>
      </w:tabs>
    </w:pPr>
  </w:style>
  <w:style w:type="character" w:customStyle="1" w:styleId="HeaderChar">
    <w:name w:val="Header Char"/>
    <w:basedOn w:val="DefaultParagraphFont"/>
    <w:link w:val="Header"/>
    <w:uiPriority w:val="99"/>
    <w:semiHidden/>
    <w:locked/>
    <w:rsid w:val="00FC45D1"/>
    <w:rPr>
      <w:sz w:val="20"/>
      <w:szCs w:val="20"/>
    </w:rPr>
  </w:style>
  <w:style w:type="paragraph" w:styleId="Footer">
    <w:name w:val="footer"/>
    <w:basedOn w:val="Normal"/>
    <w:link w:val="FooterChar"/>
    <w:uiPriority w:val="99"/>
    <w:rsid w:val="004A5315"/>
    <w:pPr>
      <w:tabs>
        <w:tab w:val="center" w:pos="4536"/>
        <w:tab w:val="right" w:pos="9072"/>
      </w:tabs>
    </w:pPr>
  </w:style>
  <w:style w:type="character" w:customStyle="1" w:styleId="FooterChar">
    <w:name w:val="Footer Char"/>
    <w:basedOn w:val="DefaultParagraphFont"/>
    <w:link w:val="Footer"/>
    <w:uiPriority w:val="99"/>
    <w:semiHidden/>
    <w:locked/>
    <w:rsid w:val="00FC45D1"/>
    <w:rPr>
      <w:sz w:val="20"/>
      <w:szCs w:val="20"/>
    </w:rPr>
  </w:style>
  <w:style w:type="character" w:styleId="PageNumber">
    <w:name w:val="page number"/>
    <w:basedOn w:val="DefaultParagraphFont"/>
    <w:uiPriority w:val="99"/>
    <w:rsid w:val="004A5315"/>
  </w:style>
  <w:style w:type="paragraph" w:styleId="Caption">
    <w:name w:val="caption"/>
    <w:basedOn w:val="Normal"/>
    <w:next w:val="Normal"/>
    <w:uiPriority w:val="99"/>
    <w:qFormat/>
    <w:rsid w:val="004A5315"/>
    <w:pPr>
      <w:spacing w:before="480" w:after="240"/>
      <w:jc w:val="center"/>
    </w:pPr>
    <w:rPr>
      <w:rFonts w:ascii="Tahoma" w:hAnsi="Tahoma" w:cs="Tahoma"/>
      <w:sz w:val="24"/>
      <w:szCs w:val="24"/>
    </w:rPr>
  </w:style>
  <w:style w:type="paragraph" w:styleId="BodyTextIndent">
    <w:name w:val="Body Text Indent"/>
    <w:aliases w:val="Char,Char Char Char Char Char,Char Char Char Char,Char Char Char Char Char Char Char Char Char Char Char,Char Char Char Char Char Char Char Char Char"/>
    <w:basedOn w:val="Normal"/>
    <w:link w:val="BodyTextIndentChar"/>
    <w:uiPriority w:val="99"/>
    <w:rsid w:val="004A5315"/>
    <w:pPr>
      <w:tabs>
        <w:tab w:val="left" w:pos="1701"/>
      </w:tabs>
      <w:spacing w:before="60"/>
      <w:ind w:left="204"/>
      <w:jc w:val="both"/>
    </w:pPr>
    <w:rPr>
      <w:rFonts w:ascii="Tahoma" w:hAnsi="Tahoma" w:cs="Tahoma"/>
    </w:rPr>
  </w:style>
  <w:style w:type="character" w:customStyle="1" w:styleId="BodyTextIndentChar">
    <w:name w:val="Body Text Indent Char"/>
    <w:aliases w:val="Char Char,Char Char Char Char Char Char,Char Char Char Char Char1,Char Char Char Char Char Char Char Char Char Char Char Char,Char Char Char Char Char Char Char Char Char Char"/>
    <w:basedOn w:val="DefaultParagraphFont"/>
    <w:link w:val="BodyTextIndent"/>
    <w:uiPriority w:val="99"/>
    <w:semiHidden/>
    <w:locked/>
    <w:rsid w:val="00FC45D1"/>
    <w:rPr>
      <w:sz w:val="20"/>
      <w:szCs w:val="20"/>
    </w:rPr>
  </w:style>
  <w:style w:type="paragraph" w:styleId="BodyTextIndent2">
    <w:name w:val="Body Text Indent 2"/>
    <w:basedOn w:val="Normal"/>
    <w:link w:val="BodyTextIndent2Char"/>
    <w:uiPriority w:val="99"/>
    <w:rsid w:val="004A5315"/>
    <w:pPr>
      <w:ind w:left="142"/>
      <w:jc w:val="both"/>
    </w:pPr>
    <w:rPr>
      <w:rFonts w:ascii="Tahoma" w:hAnsi="Tahoma" w:cs="Tahoma"/>
    </w:rPr>
  </w:style>
  <w:style w:type="character" w:customStyle="1" w:styleId="BodyTextIndent2Char">
    <w:name w:val="Body Text Indent 2 Char"/>
    <w:basedOn w:val="DefaultParagraphFont"/>
    <w:link w:val="BodyTextIndent2"/>
    <w:uiPriority w:val="99"/>
    <w:semiHidden/>
    <w:locked/>
    <w:rsid w:val="00FC45D1"/>
    <w:rPr>
      <w:sz w:val="20"/>
      <w:szCs w:val="20"/>
    </w:rPr>
  </w:style>
  <w:style w:type="character" w:styleId="Hyperlink">
    <w:name w:val="Hyperlink"/>
    <w:basedOn w:val="DefaultParagraphFont"/>
    <w:uiPriority w:val="99"/>
    <w:rsid w:val="004A5315"/>
    <w:rPr>
      <w:color w:val="0000FF"/>
      <w:u w:val="single"/>
    </w:rPr>
  </w:style>
  <w:style w:type="character" w:styleId="FollowedHyperlink">
    <w:name w:val="FollowedHyperlink"/>
    <w:basedOn w:val="DefaultParagraphFont"/>
    <w:uiPriority w:val="99"/>
    <w:rsid w:val="004A5315"/>
    <w:rPr>
      <w:color w:val="800080"/>
      <w:u w:val="single"/>
    </w:rPr>
  </w:style>
  <w:style w:type="paragraph" w:styleId="BodyTextIndent3">
    <w:name w:val="Body Text Indent 3"/>
    <w:basedOn w:val="Normal"/>
    <w:link w:val="BodyTextIndent3Char"/>
    <w:uiPriority w:val="99"/>
    <w:rsid w:val="004A531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C45D1"/>
    <w:rPr>
      <w:sz w:val="16"/>
      <w:szCs w:val="16"/>
    </w:rPr>
  </w:style>
  <w:style w:type="paragraph" w:styleId="BalloonText">
    <w:name w:val="Balloon Text"/>
    <w:basedOn w:val="Normal"/>
    <w:link w:val="BalloonTextChar"/>
    <w:uiPriority w:val="99"/>
    <w:semiHidden/>
    <w:rsid w:val="004A53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5D1"/>
    <w:rPr>
      <w:sz w:val="2"/>
      <w:szCs w:val="2"/>
    </w:rPr>
  </w:style>
  <w:style w:type="paragraph" w:styleId="NormalWeb">
    <w:name w:val="Normal (Web)"/>
    <w:basedOn w:val="Normal"/>
    <w:uiPriority w:val="99"/>
    <w:rsid w:val="004A5315"/>
    <w:pPr>
      <w:spacing w:before="100" w:beforeAutospacing="1" w:after="100" w:afterAutospacing="1"/>
    </w:pPr>
    <w:rPr>
      <w:sz w:val="24"/>
      <w:szCs w:val="24"/>
    </w:rPr>
  </w:style>
  <w:style w:type="paragraph" w:styleId="BlockText">
    <w:name w:val="Block Text"/>
    <w:basedOn w:val="Norma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DefaultParagraphFont"/>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ListBullet3">
    <w:name w:val="List Bullet 3"/>
    <w:basedOn w:val="Normal"/>
    <w:autoRedefine/>
    <w:uiPriority w:val="99"/>
    <w:rsid w:val="004A5315"/>
    <w:pPr>
      <w:keepNext/>
      <w:ind w:left="204"/>
      <w:jc w:val="both"/>
    </w:pPr>
    <w:rPr>
      <w:rFonts w:ascii="Tahoma" w:hAnsi="Tahoma" w:cs="Tahoma"/>
    </w:rPr>
  </w:style>
  <w:style w:type="character" w:customStyle="1" w:styleId="lfejChar">
    <w:name w:val="Élőfej Char"/>
    <w:basedOn w:val="DefaultParagraphFont"/>
    <w:uiPriority w:val="99"/>
    <w:rsid w:val="004A5315"/>
  </w:style>
  <w:style w:type="character" w:customStyle="1" w:styleId="CmChar">
    <w:name w:val="Cím Char"/>
    <w:basedOn w:val="DefaultParagraphFont"/>
    <w:uiPriority w:val="99"/>
    <w:rsid w:val="004A5315"/>
    <w:rPr>
      <w:rFonts w:ascii="Verdana" w:hAnsi="Verdana" w:cs="Verdana"/>
      <w:snapToGrid w:val="0"/>
      <w:sz w:val="28"/>
      <w:szCs w:val="28"/>
    </w:rPr>
  </w:style>
  <w:style w:type="character" w:customStyle="1" w:styleId="Szvegtrzsbehzssal2Char">
    <w:name w:val="Szövegtörzs behúzással 2 Char"/>
    <w:basedOn w:val="DefaultParagraphFont"/>
    <w:uiPriority w:val="99"/>
    <w:rsid w:val="004A5315"/>
    <w:rPr>
      <w:rFonts w:ascii="Tahoma" w:hAnsi="Tahoma" w:cs="Tahoma"/>
      <w:snapToGrid w:val="0"/>
    </w:rPr>
  </w:style>
  <w:style w:type="character" w:styleId="FootnoteReference">
    <w:name w:val="footnote reference"/>
    <w:basedOn w:val="DefaultParagraphFont"/>
    <w:uiPriority w:val="99"/>
    <w:semiHidden/>
    <w:rsid w:val="00417B1B"/>
    <w:rPr>
      <w:vertAlign w:val="superscript"/>
    </w:rPr>
  </w:style>
  <w:style w:type="paragraph" w:styleId="ListParagraph">
    <w:name w:val="List Paragraph"/>
    <w:basedOn w:val="Normal"/>
    <w:uiPriority w:val="99"/>
    <w:qFormat/>
    <w:rsid w:val="00D20C23"/>
    <w:pPr>
      <w:ind w:left="720"/>
    </w:pPr>
  </w:style>
  <w:style w:type="paragraph" w:styleId="FootnoteText">
    <w:name w:val="footnote text"/>
    <w:basedOn w:val="Normal"/>
    <w:link w:val="FootnoteTextChar"/>
    <w:uiPriority w:val="99"/>
    <w:semiHidden/>
    <w:rsid w:val="004264D3"/>
  </w:style>
  <w:style w:type="character" w:customStyle="1" w:styleId="FootnoteTextChar">
    <w:name w:val="Footnote Text Char"/>
    <w:basedOn w:val="DefaultParagraphFont"/>
    <w:link w:val="FootnoteText"/>
    <w:uiPriority w:val="99"/>
    <w:locked/>
    <w:rsid w:val="004264D3"/>
  </w:style>
  <w:style w:type="character" w:customStyle="1" w:styleId="UnresolvedMention">
    <w:name w:val="Unresolved Mention"/>
    <w:basedOn w:val="DefaultParagraphFont"/>
    <w:uiPriority w:val="99"/>
    <w:semiHidden/>
    <w:rsid w:val="000832EB"/>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2663</Words>
  <Characters>18379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Kurucz</cp:lastModifiedBy>
  <cp:revision>4</cp:revision>
  <cp:lastPrinted>2022-05-30T16:04:00Z</cp:lastPrinted>
  <dcterms:created xsi:type="dcterms:W3CDTF">2023-02-19T09:28:00Z</dcterms:created>
  <dcterms:modified xsi:type="dcterms:W3CDTF">2023-02-19T10:06:00Z</dcterms:modified>
</cp:coreProperties>
</file>